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 w:val="0"/>
          <w:i w:val="0"/>
          <w:snapToGrid/>
          <w:color w:val="000000"/>
          <w:sz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i w:val="0"/>
          <w:snapToGrid/>
          <w:color w:val="000000"/>
          <w:sz w:val="32"/>
          <w:u w:val="none"/>
          <w:lang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案件代理费用报价表</w:t>
      </w:r>
    </w:p>
    <w:p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 xml:space="preserve">律师事务所名称（盖章）：  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 xml:space="preserve">  </w:t>
      </w:r>
    </w:p>
    <w:p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 xml:space="preserve">单位：元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填报日期：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7"/>
        <w:gridCol w:w="1176"/>
        <w:gridCol w:w="2"/>
        <w:gridCol w:w="1175"/>
        <w:gridCol w:w="2"/>
        <w:gridCol w:w="1175"/>
        <w:gridCol w:w="1177"/>
        <w:gridCol w:w="2"/>
        <w:gridCol w:w="1174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未经复议，直接以区统计局为被告的行政诉讼案件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以区统计局为被申请人的行政复议案件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经复议后，以区统计局为第一被告的行政诉讼案件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民事及仲裁案件的代理费用标准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502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一审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二审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一审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二审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64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拟报价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16" w:hRule="atLeast"/>
        </w:trPr>
        <w:tc>
          <w:tcPr>
            <w:tcW w:w="82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               联系方式：</w:t>
            </w:r>
          </w:p>
        </w:tc>
      </w:tr>
    </w:tbl>
    <w:p>
      <w:pPr>
        <w:kinsoku/>
        <w:autoSpaceDE/>
        <w:autoSpaceDN w:val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 xml:space="preserve">说明：1.案件代理费用需在最高限额以下进行报价；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CN"/>
        </w:rPr>
        <w:t xml:space="preserve">   </w:t>
      </w:r>
    </w:p>
    <w:p>
      <w:pPr>
        <w:kinsoku/>
        <w:autoSpaceDE/>
        <w:autoSpaceDN w:val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 xml:space="preserve">2.系列案件，第二件起减半收费；           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3.其他仲裁、民事案件代理费用由律师事务所按业内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标准报价。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07208"/>
    <w:rsid w:val="21807208"/>
    <w:rsid w:val="35B07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2019-10-21T07:38:00Z</dcterms:created>
  <dc:creator>统计局收文</dc:creator>
  <cp:lastModifiedBy>张翠</cp:lastModifiedBy>
  <dcterms:modified xsi:type="dcterms:W3CDTF">2019-10-21T08:29:02Z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