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职位表</w:t>
      </w:r>
    </w:p>
    <w:tbl>
      <w:tblPr>
        <w:tblStyle w:val="4"/>
        <w:tblW w:w="14871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75"/>
        <w:gridCol w:w="705"/>
        <w:gridCol w:w="705"/>
        <w:gridCol w:w="2295"/>
        <w:gridCol w:w="735"/>
        <w:gridCol w:w="555"/>
        <w:gridCol w:w="675"/>
        <w:gridCol w:w="795"/>
        <w:gridCol w:w="900"/>
        <w:gridCol w:w="1440"/>
        <w:gridCol w:w="1515"/>
        <w:gridCol w:w="705"/>
        <w:gridCol w:w="855"/>
        <w:gridCol w:w="84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招聘单位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岗位名称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岗位类别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岗位等级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岗位描述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招聘对象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人数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学历要求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学位要求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专业要求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_本科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专业要求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_研究生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专业技术职称要求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年龄要求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其他要求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南海区老干部大学（南海区老干部活动中心）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综合协调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管理岗位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九级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负责区老干部活动中心网络、系统及计算机维护维修，兼办公室文书写作和区老干部大学教学工作。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不限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中共党员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全日制本科</w:t>
            </w: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学士或以上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计算机类（B0809）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计算机科学与技术（A0812）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30周岁及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无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工资待遇按国家事业单位有关政策规定执行。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建筑工程管理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管理岗位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九级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负责区老干部活动中心建筑工程管理，兼行政管理和综合协调，需要外出和应急处置。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不限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全日制本科及以上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学士或以上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土木类（B0811）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土木工程（A0814）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30周岁及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highlight w:val="none"/>
              </w:rPr>
              <w:t>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无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6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南海区人才研究所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人才信息管理员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九级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1.负责区域人才工作信息化建设及人才大数据应用开发；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2.对相关领域的政策及工作动态进行持续跟踪；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3.参与区域课题项目、调查研究、人才管理、人才交流活动；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4.配合完成其他相关工作。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社会人员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中共党员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学士学位及以上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计算机类（B0809）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计算机科学与技术（A0812）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3年以上工作经历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工资待遇按国家事业单位有关政策规定执行。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南海区人才研究所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人才研究员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九级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1.负责开展区域性人才、科技、产业发展前瞻性课题调研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研究工作；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开展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人才政策研讨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起草、制定、落实；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3.组织筹划并开展人才交流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活动；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配合完成其他相关工作。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全日制研究生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应用经济学类（A0202）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30周岁及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81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工资待遇按国家事业单位有关政策规定执行。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人才研究员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九级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1.负责人才发展环境、人才引进培育、人才服务等方面课题调研、研究工作；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负责相关政府建言献策报告或材料撰写工作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组织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筹划并开展人才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服务等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活动；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4.配合完成其他相关工作。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全日制研究生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管理学类（A12）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30周岁及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240" w:lineRule="auto"/>
        <w:ind w:left="0" w:leftChars="0"/>
        <w:textAlignment w:val="auto"/>
        <w:rPr>
          <w:rFonts w:hint="eastAsia" w:ascii="宋体" w:hAnsi="宋体" w:eastAsia="宋体"/>
          <w:color w:val="000000"/>
          <w:sz w:val="21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240" w:lineRule="auto"/>
        <w:ind w:left="0" w:leftChars="0"/>
        <w:textAlignment w:val="auto"/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32"/>
        </w:rPr>
        <w:t>说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明：①年龄计算时间为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  <w:t>1988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年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月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eastAsia="zh-CN"/>
        </w:rPr>
        <w:t>日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后出生；②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eastAsia="zh-CN"/>
        </w:rPr>
        <w:t>工作年限计算截止时间为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  <w:t>2019年10月23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eastAsia="zh-CN"/>
        </w:rPr>
        <w:t>日；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③学历学位须国家承认，国（境）外学历须提供学历认证；④学科、专业代码及名称参照广东省考试录用公务员专业目录（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  <w:lang w:val="en-US" w:eastAsia="zh-CN"/>
        </w:rPr>
        <w:t>2019年</w:t>
      </w:r>
      <w:r>
        <w:rPr>
          <w:rFonts w:hint="eastAsia" w:ascii="宋体" w:hAnsi="宋体" w:eastAsia="宋体"/>
          <w:color w:val="000000"/>
          <w:sz w:val="21"/>
          <w:szCs w:val="32"/>
          <w:highlight w:val="none"/>
        </w:rPr>
        <w:t>版）。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4531"/>
    <w:rsid w:val="50014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2019-10-10T02:17:00Z</dcterms:created>
  <dc:creator>user</dc:creator>
  <cp:lastModifiedBy>user</cp:lastModifiedBy>
  <dcterms:modified xsi:type="dcterms:W3CDTF">2019-10-10T02:18:12Z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