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5081" w:type="dxa"/>
        <w:tblInd w:w="0" w:type="dxa"/>
        <w:tblLayout w:type="fixed"/>
        <w:tblCellMar>
          <w:top w:w="15" w:type="dxa"/>
          <w:left w:w="15" w:type="dxa"/>
          <w:bottom w:w="15" w:type="dxa"/>
          <w:right w:w="15" w:type="dxa"/>
        </w:tblCellMar>
      </w:tblPr>
      <w:tblGrid>
        <w:gridCol w:w="657"/>
        <w:gridCol w:w="777"/>
        <w:gridCol w:w="764"/>
        <w:gridCol w:w="1009"/>
        <w:gridCol w:w="4961"/>
        <w:gridCol w:w="559"/>
        <w:gridCol w:w="5631"/>
        <w:gridCol w:w="723"/>
      </w:tblGrid>
      <w:tr>
        <w:tblPrEx>
          <w:tblLayout w:type="fixed"/>
          <w:tblCellMar>
            <w:top w:w="15" w:type="dxa"/>
            <w:left w:w="15" w:type="dxa"/>
            <w:bottom w:w="15" w:type="dxa"/>
            <w:right w:w="15" w:type="dxa"/>
          </w:tblCellMar>
        </w:tblPrEx>
        <w:trPr>
          <w:trHeight w:val="286" w:hRule="atLeast"/>
        </w:trPr>
        <w:tc>
          <w:tcPr>
            <w:tcW w:w="1434" w:type="dxa"/>
            <w:gridSpan w:val="2"/>
            <w:shd w:val="clear" w:color="auto" w:fill="auto"/>
            <w:vAlign w:val="center"/>
          </w:tcPr>
          <w:p>
            <w:pPr>
              <w:widowControl/>
              <w:jc w:val="left"/>
              <w:textAlignment w:val="center"/>
              <w:rPr>
                <w:rFonts w:ascii="宋体" w:hAnsi="宋体" w:eastAsia="宋体" w:cs="宋体"/>
                <w:b/>
                <w:color w:val="auto"/>
                <w:sz w:val="16"/>
                <w:szCs w:val="16"/>
              </w:rPr>
            </w:pPr>
            <w:r>
              <w:rPr>
                <w:rFonts w:hint="eastAsia" w:ascii="黑体" w:hAnsi="黑体" w:eastAsia="黑体" w:cs="黑体"/>
                <w:bCs/>
                <w:color w:val="auto"/>
                <w:kern w:val="0"/>
                <w:sz w:val="32"/>
                <w:szCs w:val="32"/>
                <w:lang w:bidi="ar"/>
              </w:rPr>
              <w:t>附件1</w:t>
            </w:r>
          </w:p>
        </w:tc>
        <w:tc>
          <w:tcPr>
            <w:tcW w:w="764" w:type="dxa"/>
            <w:shd w:val="clear" w:color="auto" w:fill="auto"/>
            <w:vAlign w:val="center"/>
          </w:tcPr>
          <w:p>
            <w:pPr>
              <w:rPr>
                <w:rFonts w:ascii="宋体" w:hAnsi="宋体" w:eastAsia="宋体" w:cs="宋体"/>
                <w:color w:val="auto"/>
                <w:sz w:val="16"/>
                <w:szCs w:val="16"/>
              </w:rPr>
            </w:pPr>
          </w:p>
        </w:tc>
        <w:tc>
          <w:tcPr>
            <w:tcW w:w="1009" w:type="dxa"/>
            <w:shd w:val="clear" w:color="auto" w:fill="auto"/>
            <w:vAlign w:val="center"/>
          </w:tcPr>
          <w:p>
            <w:pPr>
              <w:rPr>
                <w:rFonts w:ascii="宋体" w:hAnsi="宋体" w:eastAsia="宋体" w:cs="宋体"/>
                <w:color w:val="auto"/>
                <w:sz w:val="16"/>
                <w:szCs w:val="16"/>
              </w:rPr>
            </w:pPr>
          </w:p>
        </w:tc>
        <w:tc>
          <w:tcPr>
            <w:tcW w:w="4961" w:type="dxa"/>
            <w:shd w:val="clear" w:color="auto" w:fill="auto"/>
            <w:vAlign w:val="center"/>
          </w:tcPr>
          <w:p>
            <w:pPr>
              <w:rPr>
                <w:rFonts w:ascii="宋体" w:hAnsi="宋体" w:eastAsia="宋体" w:cs="宋体"/>
                <w:color w:val="auto"/>
                <w:sz w:val="16"/>
                <w:szCs w:val="16"/>
              </w:rPr>
            </w:pPr>
          </w:p>
        </w:tc>
        <w:tc>
          <w:tcPr>
            <w:tcW w:w="559" w:type="dxa"/>
            <w:shd w:val="clear" w:color="auto" w:fill="auto"/>
            <w:vAlign w:val="center"/>
          </w:tcPr>
          <w:p>
            <w:pPr>
              <w:rPr>
                <w:rFonts w:ascii="宋体" w:hAnsi="宋体" w:eastAsia="宋体" w:cs="宋体"/>
                <w:color w:val="auto"/>
                <w:sz w:val="16"/>
                <w:szCs w:val="16"/>
              </w:rPr>
            </w:pPr>
          </w:p>
        </w:tc>
        <w:tc>
          <w:tcPr>
            <w:tcW w:w="5631" w:type="dxa"/>
            <w:shd w:val="clear" w:color="auto" w:fill="auto"/>
            <w:vAlign w:val="center"/>
          </w:tcPr>
          <w:p>
            <w:pPr>
              <w:rPr>
                <w:rFonts w:ascii="宋体" w:hAnsi="宋体" w:eastAsia="宋体" w:cs="宋体"/>
                <w:color w:val="auto"/>
                <w:sz w:val="16"/>
                <w:szCs w:val="16"/>
              </w:rPr>
            </w:pPr>
          </w:p>
        </w:tc>
        <w:tc>
          <w:tcPr>
            <w:tcW w:w="723" w:type="dxa"/>
            <w:shd w:val="clear" w:color="auto" w:fill="auto"/>
            <w:vAlign w:val="center"/>
          </w:tcPr>
          <w:p>
            <w:pPr>
              <w:rPr>
                <w:rFonts w:ascii="宋体" w:hAnsi="宋体" w:eastAsia="宋体" w:cs="宋体"/>
                <w:color w:val="auto"/>
                <w:sz w:val="16"/>
                <w:szCs w:val="16"/>
              </w:rPr>
            </w:pPr>
          </w:p>
        </w:tc>
      </w:tr>
      <w:tr>
        <w:tblPrEx>
          <w:tblLayout w:type="fixed"/>
          <w:tblCellMar>
            <w:top w:w="15" w:type="dxa"/>
            <w:left w:w="15" w:type="dxa"/>
            <w:bottom w:w="15" w:type="dxa"/>
            <w:right w:w="15" w:type="dxa"/>
          </w:tblCellMar>
        </w:tblPrEx>
        <w:trPr>
          <w:trHeight w:val="660" w:hRule="atLeast"/>
        </w:trPr>
        <w:tc>
          <w:tcPr>
            <w:tcW w:w="1508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auto"/>
                <w:sz w:val="24"/>
              </w:rPr>
            </w:pPr>
            <w:r>
              <w:rPr>
                <w:rFonts w:hint="eastAsia" w:ascii="宋体" w:hAnsi="宋体" w:eastAsia="宋体" w:cs="宋体"/>
                <w:b/>
                <w:color w:val="auto"/>
                <w:kern w:val="0"/>
                <w:sz w:val="28"/>
                <w:szCs w:val="28"/>
                <w:lang w:bidi="ar"/>
              </w:rPr>
              <w:t>广州市南沙新区明珠湾开发建设管理局2019年公开招聘授薪人员岗位及要求一览表</w:t>
            </w:r>
            <w:bookmarkStart w:id="0" w:name="_GoBack"/>
            <w:bookmarkEnd w:id="0"/>
          </w:p>
        </w:tc>
      </w:tr>
      <w:tr>
        <w:tblPrEx>
          <w:tblLayout w:type="fixed"/>
          <w:tblCellMar>
            <w:top w:w="15" w:type="dxa"/>
            <w:left w:w="15" w:type="dxa"/>
            <w:bottom w:w="15" w:type="dxa"/>
            <w:right w:w="15" w:type="dxa"/>
          </w:tblCellMar>
        </w:tblPrEx>
        <w:trPr>
          <w:trHeight w:val="54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序号</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部门</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职务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岗位类别</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岗位说明</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数量</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招录条件</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auto"/>
                <w:sz w:val="20"/>
                <w:szCs w:val="20"/>
              </w:rPr>
            </w:pPr>
            <w:r>
              <w:rPr>
                <w:rFonts w:hint="eastAsia" w:ascii="宋体" w:hAnsi="宋体" w:eastAsia="宋体" w:cs="宋体"/>
                <w:b/>
                <w:color w:val="auto"/>
                <w:kern w:val="0"/>
                <w:sz w:val="20"/>
                <w:szCs w:val="20"/>
                <w:lang w:bidi="ar"/>
              </w:rPr>
              <w:t>预期薪酬</w:t>
            </w:r>
          </w:p>
        </w:tc>
      </w:tr>
      <w:tr>
        <w:tblPrEx>
          <w:tblLayout w:type="fixed"/>
          <w:tblCellMar>
            <w:top w:w="15" w:type="dxa"/>
            <w:left w:w="15" w:type="dxa"/>
            <w:bottom w:w="15" w:type="dxa"/>
            <w:right w:w="15" w:type="dxa"/>
          </w:tblCellMar>
        </w:tblPrEx>
        <w:trPr>
          <w:trHeight w:val="270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局领导</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副局长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副局长</w:t>
            </w:r>
          </w:p>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（高级管理</w:t>
            </w:r>
          </w:p>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岗位）</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1、负责统筹明珠湾管理局区域内建设项目的投资控制、招标管理及协调、质量管理和安全生产等工作；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2、负责统筹制定区域内开发建设实施方案及计划，以及市政基础设施和公共服务配套设施等工程建设项目的具体实施计划；</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3、负责统筹区域内城市基础设施和公共服务配套设施的开发建设项目和地块的督促、协调及检查考核工作，配合做好项目的征地拆迁；</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4、区域内建设项目的立项审批和备案、工程初步设计和工程变更的相关工作；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5、负责统筹协调城市基础设施、公共服务配套设施的运营和维护管理。</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1、大学本科及以上学历，学士及以上学位，国（境）外学历学位需提供由国家教育部所属相关机构出具的学历学位认证函；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2、本科：土木类相关专业；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3、具备良好履职记录，12年以上建设工程管理工作经验；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4、具有5年以上大型企业或建设管理部门管理层任职经历；</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5、中共党员；</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6、具备正高职称优先；</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7、年龄原则50周岁以下，特别优秀可放宽。</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70-85万（可议薪）</w:t>
            </w:r>
          </w:p>
        </w:tc>
      </w:tr>
      <w:tr>
        <w:tblPrEx>
          <w:tblLayout w:type="fixed"/>
          <w:tblCellMar>
            <w:top w:w="15" w:type="dxa"/>
            <w:left w:w="15" w:type="dxa"/>
            <w:bottom w:w="15" w:type="dxa"/>
            <w:right w:w="15" w:type="dxa"/>
          </w:tblCellMar>
        </w:tblPrEx>
        <w:trPr>
          <w:trHeight w:val="270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局领导</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总会计师</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三总师</w:t>
            </w:r>
          </w:p>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（高级管理</w:t>
            </w:r>
          </w:p>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岗位）</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1、组织建立健全明珠湾管理局财务制度、流程等管理体系，组织实施并定期优化，指导与监督财务管理体系的建设、运行与优化；</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2、牵头制订管理局预算目标并监控实施，确保预算目标实现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3、负责管理局税务筹划及资产管理工作；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4、负责制定管理局成本管理方案并组织实施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5、负责财务资金条线人才队伍建设工作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6、领导交办的其他工作。</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1、大学本科及以上学历，学士及以上学位，国（境）外学历学位需提供由国家教育部所属相关机构出具的学历学位认证函；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2、本科：财会类相关专业；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3、具备良好履职记录，12年以上财务工作经验；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4、具有5年以上大型企业或财务管理部门管理层任职经历；</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5、具备财会类高级职称；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6、中共党员优先；</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7、年龄原则50周岁以下，特别优秀可放宽。</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70-85万（可议薪）</w:t>
            </w:r>
          </w:p>
        </w:tc>
      </w:tr>
      <w:tr>
        <w:tblPrEx>
          <w:tblLayout w:type="fixed"/>
          <w:tblCellMar>
            <w:top w:w="15" w:type="dxa"/>
            <w:left w:w="15" w:type="dxa"/>
            <w:bottom w:w="15" w:type="dxa"/>
            <w:right w:w="15" w:type="dxa"/>
          </w:tblCellMar>
        </w:tblPrEx>
        <w:trPr>
          <w:trHeight w:val="746"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组       织       人       事       处</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处长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部门正职</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1、负责明珠湾管理局组织人事处全面工作；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2、负责明珠湾管理局党的建设和群团建设、党员队伍和管理局人才队伍建设等工作；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3、领导交办的其他工作。</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2、本科：人力资源，行政管理相关专业；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3、具备良好履职记录，8年及以上相关工作经验；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4、中共党员；</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5、年龄原则40周岁及以下；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6、具备在国内外大中型企业从事人事部门负责人工作经验者者优先。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50-65万</w:t>
            </w:r>
          </w:p>
        </w:tc>
      </w:tr>
      <w:tr>
        <w:tblPrEx>
          <w:tblLayout w:type="fixed"/>
          <w:tblCellMar>
            <w:top w:w="15" w:type="dxa"/>
            <w:left w:w="15" w:type="dxa"/>
            <w:bottom w:w="15" w:type="dxa"/>
            <w:right w:w="15" w:type="dxa"/>
          </w:tblCellMar>
        </w:tblPrEx>
        <w:trPr>
          <w:trHeight w:val="243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4</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党务主管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高级主管</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1、负责明珠湾管理局党的建设和群团建设、党员队伍建设等工作；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2、负责制定党务管理规章制度和工作流程；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3、负责领导交办的其他事项。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2、本科：马克思主义哲学理论，政治经济学相关专业；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3、具备良好履职记录，5年及以上党建相关工作经验，熟悉中国共产党的发展经历以及党内相关政策法规；</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4、中共党员；</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4、年龄原则40周岁及以下。</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35-45万</w:t>
            </w:r>
          </w:p>
        </w:tc>
      </w:tr>
      <w:tr>
        <w:tblPrEx>
          <w:tblLayout w:type="fixed"/>
          <w:tblCellMar>
            <w:top w:w="15" w:type="dxa"/>
            <w:left w:w="15" w:type="dxa"/>
            <w:bottom w:w="15" w:type="dxa"/>
            <w:right w:w="15" w:type="dxa"/>
          </w:tblCellMar>
        </w:tblPrEx>
        <w:trPr>
          <w:trHeight w:val="162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5</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人事专员</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一级专员</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1、负责制定明珠湾管理局人力资源规划方案，并组织实施；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2、负责编制部门职责及岗位说明书；</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3、负责招聘工作、薪酬福利、绩效考核、教育培训、考勤休假、人事档案、单位文化管理等工作；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4、负责领导交办的其他事项。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1、国内重点高校，以及国（境）外知名院校全日制本科及以上学历，学士及以上学位,国（境）外学历学位需提供由国家教育部所属相关机构出具的学历学位认证函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2、专业：人力资源管理；</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3、具备良好履职记录，3年以上人力资源管理工作经验；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4、年龄原则30周岁及以下。</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23-30万</w:t>
            </w:r>
          </w:p>
        </w:tc>
      </w:tr>
      <w:tr>
        <w:tblPrEx>
          <w:tblLayout w:type="fixed"/>
          <w:tblCellMar>
            <w:top w:w="15" w:type="dxa"/>
            <w:left w:w="15" w:type="dxa"/>
            <w:bottom w:w="15" w:type="dxa"/>
            <w:right w:w="15" w:type="dxa"/>
          </w:tblCellMar>
        </w:tblPrEx>
        <w:trPr>
          <w:trHeight w:val="243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6</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监督审计处</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处长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部门正职</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left"/>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负责监督监察明珠湾管理局贯彻执行党内法规、国家法律、法规和政策的落实情况；</w:t>
            </w:r>
          </w:p>
          <w:p>
            <w:pPr>
              <w:widowControl/>
              <w:numPr>
                <w:ilvl w:val="0"/>
                <w:numId w:val="1"/>
              </w:numPr>
              <w:jc w:val="left"/>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负责做好明珠湾管理局的纪律检查、廉政建设工作，并制定廉政建设有关规章制度；</w:t>
            </w:r>
          </w:p>
          <w:p>
            <w:pPr>
              <w:widowControl/>
              <w:numPr>
                <w:ilvl w:val="0"/>
                <w:numId w:val="1"/>
              </w:numPr>
              <w:jc w:val="left"/>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按照国家有关法律法规、审计法规制定明珠湾管理局审计实施细则；</w:t>
            </w:r>
          </w:p>
          <w:p>
            <w:pPr>
              <w:widowControl/>
              <w:numPr>
                <w:ilvl w:val="0"/>
                <w:numId w:val="1"/>
              </w:numPr>
              <w:jc w:val="left"/>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领导交办的其他业务。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2、本科：审计、财务管理相关专业；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3、具备良好履职记录，8年及以上相关工作经验；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4、中共党员；</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5、年龄原则40周岁及以下；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6、熟悉财务政策、会计准则，精通审计、税务法律法规，了解运营管理、内部控制制度和相关业务流程优先。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50-65万</w:t>
            </w:r>
          </w:p>
        </w:tc>
      </w:tr>
      <w:tr>
        <w:tblPrEx>
          <w:tblLayout w:type="fixed"/>
          <w:tblCellMar>
            <w:top w:w="15" w:type="dxa"/>
            <w:left w:w="15" w:type="dxa"/>
            <w:bottom w:w="15" w:type="dxa"/>
            <w:right w:w="15" w:type="dxa"/>
          </w:tblCellMar>
        </w:tblPrEx>
        <w:trPr>
          <w:trHeight w:val="243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7</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审计主管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主管</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1、负责编制明珠湾管理局内部监察审计年度计划和有关审计报告；                                                                      2、负责组织中介机构对管理局年度运营情况进行审计，对审计结果进行监察，督促整改落实；                                                                3、负责协助区内审计主管部门做好对管理局的审计工作；                     4、领导交办的其他业务。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2、本科：应用经济学、审计，工商管理会计学、财务管理及法学相关专业；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3、具备良好的履职记录，4年以上同行业内相关工作经验；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4、熟悉政府纪检监察审计工作机制和相关工作流程者优先；</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5、中共党员；</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6、年龄原则35周岁及以下。</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30-35万</w:t>
            </w:r>
          </w:p>
        </w:tc>
      </w:tr>
      <w:tr>
        <w:tblPrEx>
          <w:tblLayout w:type="fixed"/>
          <w:tblCellMar>
            <w:top w:w="15" w:type="dxa"/>
            <w:left w:w="15" w:type="dxa"/>
            <w:bottom w:w="15" w:type="dxa"/>
            <w:right w:w="15" w:type="dxa"/>
          </w:tblCellMar>
        </w:tblPrEx>
        <w:trPr>
          <w:trHeight w:val="351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8</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计       划       财        务        处</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副处长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部门副职</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1、负责协助计划财务处处长的工作；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2、负责明珠湾管理局区域内投资项目的统计与分析，编写财务分析报告；</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3、负责编制明珠湾管理局财务规章制度、财务报表；                     4、领导交办的其他事项。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2、本科：工商管理会计学相关专业；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3、具备良好的履职记录，8年及以上同行业内相关工作经验；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4、具备在大中型企业计划管理等相关工作经验；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5、精通金融企业财务知识、预算管理、税务、资产负债管理、资金管理知识、经济金融相关法律法规；</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6、具备财会类高级职称；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7、年龄原则40周岁及以下；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8、熟悉政府部门投资项目预算编制及计划管理工作者优先；</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9、具有CPA、CFA、CTA、ACCA资格者优先。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45-55万</w:t>
            </w:r>
          </w:p>
        </w:tc>
      </w:tr>
      <w:tr>
        <w:tblPrEx>
          <w:tblLayout w:type="fixed"/>
          <w:tblCellMar>
            <w:top w:w="15" w:type="dxa"/>
            <w:left w:w="15" w:type="dxa"/>
            <w:bottom w:w="15" w:type="dxa"/>
            <w:right w:w="15" w:type="dxa"/>
          </w:tblCellMar>
        </w:tblPrEx>
        <w:trPr>
          <w:trHeight w:val="243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9</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会计主管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主管</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1、负责明珠湾管理局资金管理、会计核算、会计监督工作，并配合审计部门做好财务审计工作；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2、负责明珠湾管理局工程招标的预算和审查、验工计价等工作；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2、本科：工商管理会计学相关专业；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3、具有良好履职经历，4年以上同行业内相关工作经验；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4、具备财会类中级及以上职称；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5、年龄原则35周岁及以下；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6、具备大中型会计师事务所相关岗位工作经验者优先。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30-35万</w:t>
            </w:r>
          </w:p>
        </w:tc>
      </w:tr>
      <w:tr>
        <w:tblPrEx>
          <w:tblLayout w:type="fixed"/>
          <w:tblCellMar>
            <w:top w:w="15" w:type="dxa"/>
            <w:left w:w="15" w:type="dxa"/>
            <w:bottom w:w="15" w:type="dxa"/>
            <w:right w:w="15" w:type="dxa"/>
          </w:tblCellMar>
        </w:tblPrEx>
        <w:trPr>
          <w:trHeight w:val="216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10</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出纳专员</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一级专员</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1、负责明珠湾管理局年度收支、固定资产、会计档案以及资金支付合同原件的管理工作；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1、国内重点高校，以及国（境）外知名院校全日制本科及以上学历，学士及以上学位,国（境）外学历学位需提供由国家教育部所属相关机构出具的学历学位认证函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2、专业：会计学，财务管理；</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3、具有良好履职经历，3年以上同行业内相关工作经验；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4、熟悉应用用友、金蝶等财务软件；                                   </w:t>
            </w:r>
          </w:p>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5、具备财会类初级及以上专业技术职称；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6、年龄原则30周岁以下。</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23-30万</w:t>
            </w:r>
          </w:p>
        </w:tc>
      </w:tr>
      <w:tr>
        <w:tblPrEx>
          <w:tblLayout w:type="fixed"/>
          <w:tblCellMar>
            <w:top w:w="15" w:type="dxa"/>
            <w:left w:w="15" w:type="dxa"/>
            <w:bottom w:w="15" w:type="dxa"/>
            <w:right w:w="15" w:type="dxa"/>
          </w:tblCellMar>
        </w:tblPrEx>
        <w:trPr>
          <w:trHeight w:val="297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11</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技        术       管       理       处</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副处长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部门副职</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1、负责协助技术管理处处长的工作；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2、负责贯彻落实国家、省、市的有关技术政策、规章和行业技术标准，承担起步区内建设工程项目总体技术统筹以及维管项目技术管理；</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3、负责制定起步区开发建设技术标准指南、绿色生态、智慧城市指标体系，并贯彻落实；</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2、本科：土木工程，道路与桥梁工程，水利工程相关专业；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3、本科土木工程，道路与桥梁工程，城市地下空间工程，水务工程专业者优先；</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4、具有良好履职经历，8年及以上同行业内相关工作经验；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5、熟悉国家、省市有关技术政策、规章和行业技术标准；</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6、具备高级及以上职称；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7、年龄原则40周岁及以下。</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45-55万</w:t>
            </w:r>
          </w:p>
        </w:tc>
      </w:tr>
      <w:tr>
        <w:tblPrEx>
          <w:tblLayout w:type="fixed"/>
          <w:tblCellMar>
            <w:top w:w="15" w:type="dxa"/>
            <w:left w:w="15" w:type="dxa"/>
            <w:bottom w:w="15" w:type="dxa"/>
            <w:right w:w="15" w:type="dxa"/>
          </w:tblCellMar>
        </w:tblPrEx>
        <w:trPr>
          <w:trHeight w:val="310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12</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技术主管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高级主管</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1、负责组织开发项目初步设计审查；</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2、负责组织工程变更相应的技术审查工作；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3、牵头开展公共工程和开发项目之间技术协调；</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2、本科：土木工程，道路与桥梁工程，城市地下空间工程相关专业；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3、本科土木工程，道路与桥梁工程，城市地下空间工程者优先；</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4、具有良好履职经历，5年及以上同行业内相关工作经验；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5、具备中级及以上职称；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6、年龄原则40周岁及以下；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7、具有甲级设计院设计工作经验优先。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35-45万</w:t>
            </w:r>
          </w:p>
        </w:tc>
      </w:tr>
      <w:tr>
        <w:tblPrEx>
          <w:tblLayout w:type="fixed"/>
          <w:tblCellMar>
            <w:top w:w="15" w:type="dxa"/>
            <w:left w:w="15" w:type="dxa"/>
            <w:bottom w:w="15" w:type="dxa"/>
            <w:right w:w="15" w:type="dxa"/>
          </w:tblCellMar>
        </w:tblPrEx>
        <w:trPr>
          <w:trHeight w:val="249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13</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技术主管1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主管</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1、负责全面创建国家绿色生态示范区、海绵城市示范区、智慧城市先行示范区、区域集中供冷建设技术管理工作，承担相关标识申报工作；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2、本科：土木工程，道路与桥梁工程相关专业；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3、具有良好履职经历，4年及以上技术管理相关工作经验；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4、具备中级及以上职称；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5、年龄原则35周岁及以下。</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30-35万</w:t>
            </w:r>
          </w:p>
        </w:tc>
      </w:tr>
      <w:tr>
        <w:tblPrEx>
          <w:tblLayout w:type="fixed"/>
          <w:tblCellMar>
            <w:top w:w="15" w:type="dxa"/>
            <w:left w:w="15" w:type="dxa"/>
            <w:bottom w:w="15" w:type="dxa"/>
            <w:right w:w="15"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14</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技术主管2</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主管</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1、负责全面创建国家绿色生态示范区、海绵城市示范区、智慧城市先行示范区、区域集中供冷建设技术管理工作，承担相关标识申报工作；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2、本科：水利水电工程，水务工程相关专业；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3、具有良好履职经历，4年及以上技术管理相关工作经验；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4、具备中级及以上职称；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5、年龄原则35周岁及以下。</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30-35万</w:t>
            </w:r>
          </w:p>
        </w:tc>
      </w:tr>
      <w:tr>
        <w:tblPrEx>
          <w:tblLayout w:type="fixed"/>
          <w:tblCellMar>
            <w:top w:w="15" w:type="dxa"/>
            <w:left w:w="15" w:type="dxa"/>
            <w:bottom w:w="15" w:type="dxa"/>
            <w:right w:w="15" w:type="dxa"/>
          </w:tblCellMar>
        </w:tblPrEx>
        <w:trPr>
          <w:trHeight w:val="4535"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15</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规       划       国       土        处</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处长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部门正职</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1、负责明珠湾管理局规划国土处全面工作；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2、负责配合国土规划部门编制起步区内国土规划、土地利用的总体规划，并组织实施。</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2、本科：城乡规划相关专业；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3、具有良好履职经历，8年及以上同行业内相关工作经验；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4、熟悉国土规划政策法规及业务流程，熟悉国内自贸区规划及产业发展现状者优先；                                                      </w:t>
            </w:r>
          </w:p>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6、具备副高及以上职称；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7、年龄原则40周岁及以下；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8、独立带领项目团队完成2个及以上国土规划类项目实施工作的成功经历者优先。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50-65万</w:t>
            </w:r>
          </w:p>
        </w:tc>
      </w:tr>
      <w:tr>
        <w:tblPrEx>
          <w:tblLayout w:type="fixed"/>
          <w:tblCellMar>
            <w:top w:w="15" w:type="dxa"/>
            <w:left w:w="15" w:type="dxa"/>
            <w:bottom w:w="15" w:type="dxa"/>
            <w:right w:w="15" w:type="dxa"/>
          </w:tblCellMar>
        </w:tblPrEx>
        <w:trPr>
          <w:trHeight w:val="302"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16</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规划主管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主管</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1、负责编制明珠湾管理局区域内水务、环境、地下空间等专项规划方案；</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2、负责统筹协调明珠湾管理局区域内规划国土的相关协调工作；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2、本科：城乡规划相关专业；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3、具有良好履职经历，4年及以上同行业内相关工作经验；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4、熟悉国土规划政策法规及业务流程，熟悉国内自贸区规划及产业发展现状者优先；                                                       </w:t>
            </w:r>
          </w:p>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5、具备中级及以上职称；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6、年龄原则35周岁及以下；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7、4年及以上机关事业单位或大型国企国土规划项目实施相关经验，有独立带领项目团队完成一个及以上国土规划类项目实施工作的成功经历者优先。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30-35万</w:t>
            </w:r>
          </w:p>
        </w:tc>
      </w:tr>
      <w:tr>
        <w:tblPrEx>
          <w:tblLayout w:type="fixed"/>
          <w:tblCellMar>
            <w:top w:w="15" w:type="dxa"/>
            <w:left w:w="15" w:type="dxa"/>
            <w:bottom w:w="15" w:type="dxa"/>
            <w:right w:w="15" w:type="dxa"/>
          </w:tblCellMar>
        </w:tblPrEx>
        <w:trPr>
          <w:trHeight w:val="189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17</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规划专员</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一级专员</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1、负责协调明珠湾管理局区域内公共工程和开发项目规划审批、用地预审和规划验收工作；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2、负责拟定明珠湾管理局区域内土地供应计划和土地利用计划、土地出让计划何年度土地出让方案，具体组织用地报批及批后实施，土地供应及供后监管；</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1、国内重点高校，以及国（境）外知名院校全日制本科及以上学历，学士及以上学位,国（境）外学历学位需提供由国家教育部所属相关机构出具的学历学位认证函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2、专业：城市规划、人文地理学；</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3、具有良好履职经历，3年及以上工作经验；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4、具备初级及以上职称；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5、年龄原则30周岁及以下。</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23-30万</w:t>
            </w:r>
          </w:p>
        </w:tc>
      </w:tr>
      <w:tr>
        <w:tblPrEx>
          <w:tblLayout w:type="fixed"/>
          <w:tblCellMar>
            <w:top w:w="15" w:type="dxa"/>
            <w:left w:w="15" w:type="dxa"/>
            <w:bottom w:w="15" w:type="dxa"/>
            <w:right w:w="15" w:type="dxa"/>
          </w:tblCellMar>
        </w:tblPrEx>
        <w:trPr>
          <w:trHeight w:val="270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18</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开       发       建       设       处</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处长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部门正职</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1、负责明珠湾管理局开发建设处全面工作；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2、负责拟定区域内开发建设实施方案及计划，以及市政基础设施和公共服务配套设施等工程建设项目的具体实施计划；</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3、负责区域内建设项目的立项审批和备案、工程初步设计和工程变更的相关工作；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4、负责城市基础设施、公共服务配套设施的后期运营和维护管理。联系运营和维护管理有关单位；</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2、本科：土木工程，水利工程相关专业；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3、具备良好履职记录，8年及以上基础设施建设领域相关工作经验；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4、熟悉建筑行业相关技术规范标准以及相关政策法规；</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5、熟悉招标工作相关政策法规和业务流程，能够独立开展招标采购工作；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6、具备相关专业高级职称；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7、年龄原则40周岁及以下。</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50-65万</w:t>
            </w:r>
          </w:p>
        </w:tc>
      </w:tr>
      <w:tr>
        <w:tblPrEx>
          <w:tblLayout w:type="fixed"/>
          <w:tblCellMar>
            <w:top w:w="15" w:type="dxa"/>
            <w:left w:w="15" w:type="dxa"/>
            <w:bottom w:w="15" w:type="dxa"/>
            <w:right w:w="15" w:type="dxa"/>
          </w:tblCellMar>
        </w:tblPrEx>
        <w:trPr>
          <w:trHeight w:val="270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19</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副处长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部门副职</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1负责协助开发建设处处长的工作；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2、负责拟定明珠湾管理局区域内开发建设的具体实施方案及年度计划；</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3、负责编制区域内市政基础设施和公共服务配套设施等工程建设项目的实施计划；</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2、本科：土木工程，水利工程、管理科学与工程类相关专业；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3、具备良好履职经历，8年及以上基础设施建设领域工作经验；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4、熟悉财政投资全生命周期流程，有大型项目管理经验；</w:t>
            </w:r>
            <w:r>
              <w:rPr>
                <w:rFonts w:hint="eastAsia" w:ascii="宋体" w:hAnsi="宋体" w:eastAsia="宋体" w:cs="宋体"/>
                <w:color w:val="auto"/>
                <w:kern w:val="0"/>
                <w:sz w:val="16"/>
                <w:szCs w:val="16"/>
                <w:lang w:bidi="ar"/>
              </w:rPr>
              <w:br w:type="textWrapping"/>
            </w:r>
            <w:r>
              <w:rPr>
                <w:rFonts w:ascii="宋体" w:hAnsi="宋体" w:eastAsia="宋体" w:cs="宋体"/>
                <w:color w:val="auto"/>
                <w:kern w:val="0"/>
                <w:sz w:val="16"/>
                <w:szCs w:val="16"/>
                <w:lang w:bidi="ar"/>
              </w:rPr>
              <w:t>5</w:t>
            </w:r>
            <w:r>
              <w:rPr>
                <w:rFonts w:hint="eastAsia" w:ascii="宋体" w:hAnsi="宋体" w:eastAsia="宋体" w:cs="宋体"/>
                <w:color w:val="auto"/>
                <w:kern w:val="0"/>
                <w:sz w:val="16"/>
                <w:szCs w:val="16"/>
                <w:lang w:bidi="ar"/>
              </w:rPr>
              <w:t>、具备高级职称；</w:t>
            </w:r>
            <w:r>
              <w:rPr>
                <w:rFonts w:hint="eastAsia" w:ascii="宋体" w:hAnsi="宋体" w:eastAsia="宋体" w:cs="宋体"/>
                <w:color w:val="auto"/>
                <w:kern w:val="0"/>
                <w:sz w:val="16"/>
                <w:szCs w:val="16"/>
                <w:lang w:bidi="ar"/>
              </w:rPr>
              <w:br w:type="textWrapping"/>
            </w:r>
            <w:r>
              <w:rPr>
                <w:rFonts w:ascii="宋体" w:hAnsi="宋体" w:eastAsia="宋体" w:cs="宋体"/>
                <w:color w:val="auto"/>
                <w:kern w:val="0"/>
                <w:sz w:val="16"/>
                <w:szCs w:val="16"/>
                <w:lang w:bidi="ar"/>
              </w:rPr>
              <w:t>6</w:t>
            </w:r>
            <w:r>
              <w:rPr>
                <w:rFonts w:hint="eastAsia" w:ascii="宋体" w:hAnsi="宋体" w:eastAsia="宋体" w:cs="宋体"/>
                <w:color w:val="auto"/>
                <w:kern w:val="0"/>
                <w:sz w:val="16"/>
                <w:szCs w:val="16"/>
                <w:lang w:bidi="ar"/>
              </w:rPr>
              <w:t>、年龄原则40周岁及以下。</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45-55万</w:t>
            </w:r>
          </w:p>
        </w:tc>
      </w:tr>
      <w:tr>
        <w:tblPrEx>
          <w:tblLayout w:type="fixed"/>
          <w:tblCellMar>
            <w:top w:w="15" w:type="dxa"/>
            <w:left w:w="15" w:type="dxa"/>
            <w:bottom w:w="15" w:type="dxa"/>
            <w:right w:w="15" w:type="dxa"/>
          </w:tblCellMar>
        </w:tblPrEx>
        <w:trPr>
          <w:trHeight w:val="216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20</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工程主管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高级主管</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1、负责明珠湾管理局区域内建设工程项目的投资、招标管理及协调、质量管理、安全生产等工作；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2、负责各参建主体工程建设项目的督促检查和统筹协调工作，配合做好项目的征地拆迁；</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2、本科：给排水科学与工程类相关专业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3、具备良好履职经历，5年及以上基础设施建设领域工作经验；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4、具备中级及以上职称；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5、年龄原则40周岁及以下。</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35-45万</w:t>
            </w:r>
          </w:p>
        </w:tc>
      </w:tr>
      <w:tr>
        <w:tblPrEx>
          <w:tblLayout w:type="fixed"/>
          <w:tblCellMar>
            <w:top w:w="15" w:type="dxa"/>
            <w:left w:w="15" w:type="dxa"/>
            <w:bottom w:w="15" w:type="dxa"/>
            <w:right w:w="15" w:type="dxa"/>
          </w:tblCellMar>
        </w:tblPrEx>
        <w:trPr>
          <w:trHeight w:val="216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21</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工程项目管理专员</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一级专员</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1、负责督促和协调建设项目和开发地块的验收管理和移交工作；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2、负责协助做好工程竣工验收和结算工作；领导交办的其他事项；</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1、国内重点高校，以及国（境）外知名院校全日制本科及以上学历，学士及以上学位,国（境）外学历学位需提供由国家教育部所属相关机构出具的学历学位认证函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2、本科：电气工程及自动化相关专业；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3、具备良好履职经历，3年及以上同行业内相关工作经验；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4、具备初级及以上专业技术职称；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5、年龄原则30周岁及以下。</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23-30万</w:t>
            </w:r>
          </w:p>
        </w:tc>
      </w:tr>
      <w:tr>
        <w:tblPrEx>
          <w:tblLayout w:type="fixed"/>
          <w:tblCellMar>
            <w:top w:w="15" w:type="dxa"/>
            <w:left w:w="15" w:type="dxa"/>
            <w:bottom w:w="15" w:type="dxa"/>
            <w:right w:w="15" w:type="dxa"/>
          </w:tblCellMar>
        </w:tblPrEx>
        <w:trPr>
          <w:trHeight w:val="348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22</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运       营       管       理       处</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处长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部门正职</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1、负责明珠湾管理局运营管理处全面工作；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2、负责贯彻执行上级有关城市市政基础设施和公共配套服务设施等运行管理的方针、政策和法律法规；</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3、负责制定区域内市政基础设施及公共事业管理的年度计划和管理制度，并组织实施；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2、本科：公共事业管理，城市管理相关专业；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3、具备良好履职经历，8年及以上同行业内相关工作经验，曾任大型园区、城市运营管理中层管理职位；</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4、具备高级专业技术职称；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5、年龄原则40周岁及以下；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6、具备城市建设基础设施的项目经验/经历优先；</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7、熟悉智慧城市相关知识或有行业客户资源及政府资源者优先。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50-65万</w:t>
            </w:r>
          </w:p>
        </w:tc>
      </w:tr>
      <w:tr>
        <w:tblPrEx>
          <w:tblLayout w:type="fixed"/>
          <w:tblCellMar>
            <w:top w:w="15" w:type="dxa"/>
            <w:left w:w="15" w:type="dxa"/>
            <w:bottom w:w="15" w:type="dxa"/>
            <w:right w:w="15" w:type="dxa"/>
          </w:tblCellMar>
        </w:tblPrEx>
        <w:trPr>
          <w:trHeight w:val="309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23</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副处长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部门副职</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1、负责协助运营管理处处长开展工作；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2、负责明珠湾管理局区域内已移交城市基础设施、公共服务配套设施的运营和维护管理；</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3、负责明珠湾管理局区域内智慧城市的推动和运营维护；</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2、本科：管理科学与工程类相关专业；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3、具备良好履职经历，8年及以上相关工作经验；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4、具备高级专业技术职称；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5、年龄原则40周岁及以下；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6、熟悉销售、市场、运营等工作，对PR、GA等方面的工作有一定了解；</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7、具备市政设施管理经验与公共设施管理经验。</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45-55万</w:t>
            </w:r>
          </w:p>
        </w:tc>
      </w:tr>
      <w:tr>
        <w:tblPrEx>
          <w:tblLayout w:type="fixed"/>
          <w:tblCellMar>
            <w:top w:w="15" w:type="dxa"/>
            <w:left w:w="15" w:type="dxa"/>
            <w:bottom w:w="15" w:type="dxa"/>
            <w:right w:w="15" w:type="dxa"/>
          </w:tblCellMar>
        </w:tblPrEx>
        <w:trPr>
          <w:trHeight w:val="243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24</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运营主管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高级主管</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1、负责承接各相关职能部门委托的如开路口、道路临时占用、给水排水接驳等部分行政审批；</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2、负责探索政府和社会力量共同参与的新的运营管理模式；</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2、本科：园林类相关专业；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3、具备良好履职经历，5年及以上相关工作经验；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4、具备中级专业技术职称；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5、年龄原则40周岁及以下；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6、熟悉智慧城市相关知识或有行业客户资源及政府资源者优先。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35-45万</w:t>
            </w:r>
          </w:p>
        </w:tc>
      </w:tr>
      <w:tr>
        <w:tblPrEx>
          <w:tblLayout w:type="fixed"/>
          <w:tblCellMar>
            <w:top w:w="15" w:type="dxa"/>
            <w:left w:w="15" w:type="dxa"/>
            <w:bottom w:w="15" w:type="dxa"/>
            <w:right w:w="15" w:type="dxa"/>
          </w:tblCellMar>
        </w:tblPrEx>
        <w:trPr>
          <w:trHeight w:val="294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25</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运营维护专员</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一级专员</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1、负责协助运营管理单位进行区域一体化管理；</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2、负责区域内信息化、智慧城市建设；</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1、国内重点高校，以及国（境）外知名院校全日制本科及以上学历，学士及以上学位,国（境）外学历学位需提供由国家教育部所属相关机构出具的学历学位认证函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2、本科：计算机类、英语类相关专业；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3、具备良好履职经历，3年以上相关工作经验；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4、具备初级专业技术职称；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5、年龄原则30周岁及以下；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6、熟悉智慧城市相关知识或有行业客户资源及政府资源者优先。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23-30万</w:t>
            </w:r>
          </w:p>
        </w:tc>
      </w:tr>
      <w:tr>
        <w:tblPrEx>
          <w:tblLayout w:type="fixed"/>
          <w:tblCellMar>
            <w:top w:w="15" w:type="dxa"/>
            <w:left w:w="15" w:type="dxa"/>
            <w:bottom w:w="15" w:type="dxa"/>
            <w:right w:w="15" w:type="dxa"/>
          </w:tblCellMar>
        </w:tblPrEx>
        <w:trPr>
          <w:trHeight w:val="3076"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26</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经       济       合       作       处</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副处长</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部门副职</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1、协助经济合作处处长开展工作；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2、负责配合推进明珠湾管理局区域内招商引资工作；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3、负责协调制定明珠湾管理局区域内有关产业导入和项目落地的扶持政策；</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2、本科：商务英语相关专业；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3、具备良好履职经历，8年及以上招商引资相关工作经验；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4、年龄原则40周岁及以下；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5、在大型国企担任经济类或招商引资类部门正职满3年优先；</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6、拥有经济类、管理类政府工作经验优先。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45-55万</w:t>
            </w:r>
          </w:p>
        </w:tc>
      </w:tr>
      <w:tr>
        <w:tblPrEx>
          <w:tblLayout w:type="fixed"/>
          <w:tblCellMar>
            <w:top w:w="15" w:type="dxa"/>
            <w:left w:w="15" w:type="dxa"/>
            <w:bottom w:w="15" w:type="dxa"/>
            <w:right w:w="15" w:type="dxa"/>
          </w:tblCellMar>
        </w:tblPrEx>
        <w:trPr>
          <w:trHeight w:val="189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27</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产业主管</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主管</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1、负责谋划明珠湾管理局区域内招商引资及宣传工作，制定区域内招商引资工作年度计划，并组织实施；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2、协调推动总部经济、金融服务、科技创新等产业在区域内的集聚发展，推进区域内商业楼宇的二次招商工作；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2、本科：经济与贸易类；历史学类相关专业；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3、具备良好履职经历4年及以上相关工作经验；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4、年龄原则35周岁及以下。</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30-35万</w:t>
            </w:r>
          </w:p>
        </w:tc>
      </w:tr>
      <w:tr>
        <w:tblPrEx>
          <w:tblLayout w:type="fixed"/>
          <w:tblCellMar>
            <w:top w:w="15" w:type="dxa"/>
            <w:left w:w="15" w:type="dxa"/>
            <w:bottom w:w="15" w:type="dxa"/>
            <w:right w:w="15" w:type="dxa"/>
          </w:tblCellMar>
        </w:tblPrEx>
        <w:trPr>
          <w:trHeight w:val="189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28</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招商专员</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二级专员</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1、协调推进落地项目筹建服务工作；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2、协调督导落实招商引资项目产业导入责任；</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3、领导交办的其他事项。</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1、国内重点高校，以及国（境）外知名院校全日制本科及以上学历，学士及以上学位,国（境）外学历学位需提供由国家教育部所属相关机构出具的学历学位认证函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2、专业：艺术设计、经济与金融、国民经济管理、国际经济与贸易相关专业；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3、具备2年及以上相关工作经验；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4、年龄原则30周岁及以下。</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18-23万</w:t>
            </w:r>
          </w:p>
        </w:tc>
      </w:tr>
      <w:tr>
        <w:tblPrEx>
          <w:tblLayout w:type="fixed"/>
          <w:tblCellMar>
            <w:top w:w="15" w:type="dxa"/>
            <w:left w:w="15" w:type="dxa"/>
            <w:bottom w:w="15" w:type="dxa"/>
            <w:right w:w="15" w:type="dxa"/>
          </w:tblCellMar>
        </w:tblPrEx>
        <w:trPr>
          <w:trHeight w:val="198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29</w:t>
            </w:r>
          </w:p>
        </w:tc>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经       济       发       展</w:t>
            </w:r>
          </w:p>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服</w:t>
            </w:r>
          </w:p>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务      中       心</w:t>
            </w:r>
          </w:p>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金</w:t>
            </w:r>
          </w:p>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融</w:t>
            </w:r>
          </w:p>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服</w:t>
            </w:r>
          </w:p>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务</w:t>
            </w:r>
          </w:p>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组</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技术主管1</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主管</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1.负责南沙政策及课题调研工作，负责金融政策创新；</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2.统筹南沙金融类项目招商工作，统筹与各相关部门的沟通协调工作，推动形成高效畅通的上下级之间、政企之间、企业之间的沟通互动体制机制；</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3.负责推动金融资源支持新区重点产业发展融资，推动金融业与新区产业和社会互动发展，发挥好区内金融资源带动产业主体促进实体经济的作用。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4.负责推动金融国际交流合作，立足南沙国家级新区平台，推动区内金融企业联合港澳及外资企业开展创新业务。</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2、专业：经济学，管理学相关专业；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3、缜密的逻辑思维、优秀的语言和文字表达能力；</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4、扎实的经济和金融理论知识，了解国民经济运作规律；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5、熟悉金融相关政策法规，了解金融行业；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6、具有良好的组织规划能力和执行力；</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7、熟悉金融（类金融）机构的运作，熟悉企业融资和上市等相关流程；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8、具备4年及以上党政机关、国有企事业单位或大型金融（类金融）企业相关工作经验，至少担任过2年中层及以上管理职位；</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9、年龄原则35周岁及以下。</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30-35万</w:t>
            </w:r>
          </w:p>
        </w:tc>
      </w:tr>
      <w:tr>
        <w:tblPrEx>
          <w:tblLayout w:type="fixed"/>
          <w:tblCellMar>
            <w:top w:w="15" w:type="dxa"/>
            <w:left w:w="15" w:type="dxa"/>
            <w:bottom w:w="15" w:type="dxa"/>
            <w:right w:w="15" w:type="dxa"/>
          </w:tblCellMar>
        </w:tblPrEx>
        <w:trPr>
          <w:trHeight w:val="174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30</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技术主管2</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4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r>
      <w:tr>
        <w:tblPrEx>
          <w:tblLayout w:type="fixed"/>
          <w:tblCellMar>
            <w:top w:w="15" w:type="dxa"/>
            <w:left w:w="15" w:type="dxa"/>
            <w:bottom w:w="15" w:type="dxa"/>
            <w:right w:w="15" w:type="dxa"/>
          </w:tblCellMar>
        </w:tblPrEx>
        <w:trPr>
          <w:trHeight w:val="132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31</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技术专员1</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一级专员</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1.负责金融类项目招商推介宣传、项目对接及与区内相关部门的沟通协调工作；                                                                2.推进地方金融机构的设立，制定金融业发展专项规划及资金投资引导；</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3.负责区内金融产业改革创新研究，金融机构的服务协调和风险防控。</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1、国内重点高校，以及国（境）外知名院校全日制本科及以上学历，学士及以上学位,国（境）外学历学位需提供由国家教育部所属相关机构出具的学历学位认证函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2、专业：经济学，会计学，财务管理相关专业；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3、缜密的逻辑思维、优秀的语言和文字表达能力；</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4、扎实的经济和金融理论知识，了解国民经济运作规律；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5、熟悉银行、保险、证券、保理、小贷、融资租赁等金融（类金融）机构的运作，熟悉企业融资和上市等相关流程；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6、具备3年及以上党政机关、国有企事业单位或大型金融（类金融）企业相关工作经验；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7、年龄原则30周岁及以下；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8、有知名会计师事务所相关岗位工作经验或团队管理工作经验者优先。</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23-30万</w:t>
            </w:r>
          </w:p>
        </w:tc>
      </w:tr>
      <w:tr>
        <w:tblPrEx>
          <w:tblLayout w:type="fixed"/>
          <w:tblCellMar>
            <w:top w:w="15" w:type="dxa"/>
            <w:left w:w="15" w:type="dxa"/>
            <w:bottom w:w="15" w:type="dxa"/>
            <w:right w:w="15" w:type="dxa"/>
          </w:tblCellMar>
        </w:tblPrEx>
        <w:trPr>
          <w:trHeight w:val="1441"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32</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技术专员2</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4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r>
      <w:tr>
        <w:tblPrEx>
          <w:tblLayout w:type="fixed"/>
          <w:tblCellMar>
            <w:top w:w="15" w:type="dxa"/>
            <w:left w:w="15" w:type="dxa"/>
            <w:bottom w:w="15" w:type="dxa"/>
            <w:right w:w="15" w:type="dxa"/>
          </w:tblCellMar>
        </w:tblPrEx>
        <w:trPr>
          <w:trHeight w:val="1035"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33</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技术专员3</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4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r>
      <w:tr>
        <w:tblPrEx>
          <w:tblLayout w:type="fixed"/>
          <w:tblCellMar>
            <w:top w:w="15" w:type="dxa"/>
            <w:left w:w="15" w:type="dxa"/>
            <w:bottom w:w="15" w:type="dxa"/>
            <w:right w:w="15" w:type="dxa"/>
          </w:tblCellMar>
        </w:tblPrEx>
        <w:trPr>
          <w:trHeight w:val="78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34</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技术专员1</w:t>
            </w:r>
          </w:p>
        </w:tc>
        <w:tc>
          <w:tcPr>
            <w:tcW w:w="10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二级专员</w:t>
            </w:r>
          </w:p>
        </w:tc>
        <w:tc>
          <w:tcPr>
            <w:tcW w:w="49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1.负责金融类项目招商推介宣传、项目对接及与区内相关部门的沟通协调工作；                                                               2.推动南沙开展各类金融业务创新。</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1、国内重点高校，以及国（境）外知名院校全日制本科及以上学历，学士及以上学位,国（境）外学历学位需提供由国家教育部所属相关机构出具的学历学位认证函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2、专业：经济学，会计学，财务管理相关专业；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3、缜密的逻辑思维、优秀的语言和文字表达能力；</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4、扎实的经济和金融理论知识，了解国民经济运作规律；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5、熟悉证券、保理、小贷、融资租赁等金融（类金融）机构的运作；</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6、年龄原则30周岁及以下；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7、具备2年及以上党政机关、国有企事业单位或大型金融（类金融）企业相关工作经验，有知名会计师事务所相关岗位工作经验或团队管理工作经验者优先。</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18-23万</w:t>
            </w:r>
          </w:p>
        </w:tc>
      </w:tr>
      <w:tr>
        <w:tblPrEx>
          <w:tblLayout w:type="fixed"/>
          <w:tblCellMar>
            <w:top w:w="15" w:type="dxa"/>
            <w:left w:w="15" w:type="dxa"/>
            <w:bottom w:w="15" w:type="dxa"/>
            <w:right w:w="15" w:type="dxa"/>
          </w:tblCellMar>
        </w:tblPrEx>
        <w:trPr>
          <w:trHeight w:val="78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35</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技术专员2</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4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r>
      <w:tr>
        <w:tblPrEx>
          <w:tblLayout w:type="fixed"/>
          <w:tblCellMar>
            <w:top w:w="15" w:type="dxa"/>
            <w:left w:w="15" w:type="dxa"/>
            <w:bottom w:w="15" w:type="dxa"/>
            <w:right w:w="15" w:type="dxa"/>
          </w:tblCellMar>
        </w:tblPrEx>
        <w:trPr>
          <w:trHeight w:val="795"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36</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技术专员3</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4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r>
      <w:tr>
        <w:tblPrEx>
          <w:tblLayout w:type="fixed"/>
          <w:tblCellMar>
            <w:top w:w="15" w:type="dxa"/>
            <w:left w:w="15" w:type="dxa"/>
            <w:bottom w:w="15" w:type="dxa"/>
            <w:right w:w="15" w:type="dxa"/>
          </w:tblCellMar>
        </w:tblPrEx>
        <w:trPr>
          <w:trHeight w:val="78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sz w:val="16"/>
                <w:szCs w:val="16"/>
              </w:rPr>
              <w:t>37</w:t>
            </w: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技术专员4</w:t>
            </w:r>
          </w:p>
        </w:tc>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4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w:t>
            </w:r>
          </w:p>
        </w:tc>
        <w:tc>
          <w:tcPr>
            <w:tcW w:w="56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r>
      <w:tr>
        <w:tblPrEx>
          <w:tblLayout w:type="fixed"/>
          <w:tblCellMar>
            <w:top w:w="15" w:type="dxa"/>
            <w:left w:w="15" w:type="dxa"/>
            <w:bottom w:w="15" w:type="dxa"/>
            <w:right w:w="15"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sz w:val="16"/>
                <w:szCs w:val="16"/>
              </w:rPr>
              <w:t>38</w:t>
            </w:r>
          </w:p>
        </w:tc>
        <w:tc>
          <w:tcPr>
            <w:tcW w:w="77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经       济       发       展</w:t>
            </w:r>
          </w:p>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服</w:t>
            </w:r>
          </w:p>
          <w:p>
            <w:pPr>
              <w:jc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务      中       心</w:t>
            </w:r>
          </w:p>
          <w:p>
            <w:pPr>
              <w:jc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口</w:t>
            </w:r>
          </w:p>
          <w:p>
            <w:pPr>
              <w:jc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岸</w:t>
            </w:r>
          </w:p>
          <w:p>
            <w:pPr>
              <w:jc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服</w:t>
            </w:r>
          </w:p>
          <w:p>
            <w:pPr>
              <w:jc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务</w:t>
            </w:r>
          </w:p>
          <w:p>
            <w:pPr>
              <w:jc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组</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招商专员</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r>
              <w:rPr>
                <w:rFonts w:hint="eastAsia" w:ascii="宋体" w:hAnsi="宋体" w:eastAsia="宋体" w:cs="宋体"/>
                <w:color w:val="auto"/>
                <w:sz w:val="16"/>
                <w:szCs w:val="16"/>
              </w:rPr>
              <w:t>一级专员</w:t>
            </w:r>
          </w:p>
        </w:tc>
        <w:tc>
          <w:tcPr>
            <w:tcW w:w="496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jc w:val="left"/>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负责推进国际航运中心建设工作的统筹、谋划；</w:t>
            </w:r>
          </w:p>
          <w:p>
            <w:pPr>
              <w:numPr>
                <w:ilvl w:val="0"/>
                <w:numId w:val="2"/>
              </w:numPr>
              <w:jc w:val="left"/>
              <w:rPr>
                <w:rFonts w:ascii="宋体" w:hAnsi="宋体" w:eastAsia="宋体" w:cs="宋体"/>
                <w:color w:val="auto"/>
                <w:sz w:val="16"/>
                <w:szCs w:val="16"/>
              </w:rPr>
            </w:pPr>
            <w:r>
              <w:rPr>
                <w:rFonts w:hint="eastAsia" w:ascii="宋体" w:hAnsi="宋体" w:eastAsia="宋体" w:cs="宋体"/>
                <w:color w:val="auto"/>
                <w:kern w:val="0"/>
                <w:sz w:val="16"/>
                <w:szCs w:val="16"/>
                <w:lang w:bidi="ar"/>
              </w:rPr>
              <w:t>负责港航物流重大招商活动的组织策划；</w:t>
            </w:r>
          </w:p>
          <w:p>
            <w:pPr>
              <w:numPr>
                <w:ilvl w:val="0"/>
                <w:numId w:val="2"/>
              </w:numPr>
              <w:jc w:val="left"/>
              <w:rPr>
                <w:rFonts w:ascii="宋体" w:hAnsi="宋体" w:eastAsia="宋体" w:cs="宋体"/>
                <w:color w:val="auto"/>
                <w:sz w:val="16"/>
                <w:szCs w:val="16"/>
              </w:rPr>
            </w:pPr>
            <w:r>
              <w:rPr>
                <w:rFonts w:hint="eastAsia" w:ascii="宋体" w:hAnsi="宋体" w:eastAsia="宋体" w:cs="宋体"/>
                <w:color w:val="auto"/>
                <w:kern w:val="0"/>
                <w:sz w:val="16"/>
                <w:szCs w:val="16"/>
                <w:lang w:bidi="ar"/>
              </w:rPr>
              <w:t>负责港航物流重点项目的策划、引进、服务等；</w:t>
            </w:r>
          </w:p>
          <w:p>
            <w:pPr>
              <w:numPr>
                <w:ilvl w:val="0"/>
                <w:numId w:val="2"/>
              </w:numPr>
              <w:jc w:val="left"/>
              <w:rPr>
                <w:rFonts w:ascii="宋体" w:hAnsi="宋体" w:eastAsia="宋体" w:cs="宋体"/>
                <w:color w:val="auto"/>
                <w:sz w:val="16"/>
                <w:szCs w:val="16"/>
              </w:rPr>
            </w:pPr>
            <w:r>
              <w:rPr>
                <w:rFonts w:hint="eastAsia" w:ascii="宋体" w:hAnsi="宋体" w:eastAsia="宋体" w:cs="宋体"/>
                <w:color w:val="auto"/>
                <w:kern w:val="0"/>
                <w:sz w:val="16"/>
                <w:szCs w:val="16"/>
                <w:lang w:bidi="ar"/>
              </w:rPr>
              <w:t>负责航运物流政策的制定实施等工作。</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1</w:t>
            </w:r>
          </w:p>
        </w:tc>
        <w:tc>
          <w:tcPr>
            <w:tcW w:w="5631"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spacing w:line="280" w:lineRule="exact"/>
              <w:jc w:val="left"/>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国内重点高校，以及国（境）外知名院校全日制本科及以上学历，学士及以上学位,国（境）外学历学位需提供由国家教育部所属相关机构出具的学历学位认证函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2、专业：经济学、法学类相关专业；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3、具有良好的履职记录，具备3年及以上同行业内相关工作经验，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4、年龄原则30周岁及以下；</w:t>
            </w:r>
          </w:p>
          <w:p>
            <w:pPr>
              <w:spacing w:line="280" w:lineRule="exact"/>
              <w:jc w:val="left"/>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5、具有较强的文字功底和良好的沟通、组织协调能力；</w:t>
            </w:r>
          </w:p>
          <w:p>
            <w:pPr>
              <w:spacing w:line="280" w:lineRule="exact"/>
              <w:jc w:val="left"/>
              <w:rPr>
                <w:rFonts w:ascii="宋体" w:hAnsi="宋体" w:eastAsia="宋体" w:cs="宋体"/>
                <w:color w:val="auto"/>
                <w:sz w:val="16"/>
                <w:szCs w:val="16"/>
              </w:rPr>
            </w:pPr>
            <w:r>
              <w:rPr>
                <w:rFonts w:hint="eastAsia" w:ascii="宋体" w:hAnsi="宋体" w:eastAsia="宋体" w:cs="宋体"/>
                <w:color w:val="auto"/>
                <w:kern w:val="0"/>
                <w:sz w:val="16"/>
                <w:szCs w:val="16"/>
                <w:lang w:bidi="ar"/>
              </w:rPr>
              <w:t>6、英语六级水平以上，有大型咨询机构任职经验并担任策划管理职务者优先；有在航运物流企业担任中层及以上管理经验者优先；有驾驶执照者优先。</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23-30万</w:t>
            </w:r>
          </w:p>
        </w:tc>
      </w:tr>
      <w:tr>
        <w:tblPrEx>
          <w:tblLayout w:type="fixed"/>
          <w:tblCellMar>
            <w:top w:w="15" w:type="dxa"/>
            <w:left w:w="15" w:type="dxa"/>
            <w:bottom w:w="15" w:type="dxa"/>
            <w:right w:w="15" w:type="dxa"/>
          </w:tblCellMar>
        </w:tblPrEx>
        <w:trPr>
          <w:trHeight w:val="96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sz w:val="16"/>
                <w:szCs w:val="16"/>
              </w:rPr>
              <w:t>39</w:t>
            </w:r>
          </w:p>
        </w:tc>
        <w:tc>
          <w:tcPr>
            <w:tcW w:w="77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招商专员1</w:t>
            </w:r>
          </w:p>
        </w:tc>
        <w:tc>
          <w:tcPr>
            <w:tcW w:w="100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r>
              <w:rPr>
                <w:rFonts w:hint="eastAsia" w:ascii="宋体" w:hAnsi="宋体" w:eastAsia="宋体" w:cs="宋体"/>
                <w:color w:val="auto"/>
                <w:sz w:val="16"/>
                <w:szCs w:val="16"/>
              </w:rPr>
              <w:t>二级专员</w:t>
            </w:r>
          </w:p>
        </w:tc>
        <w:tc>
          <w:tcPr>
            <w:tcW w:w="4961" w:type="dxa"/>
            <w:vMerge w:val="restart"/>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r>
              <w:rPr>
                <w:rFonts w:hint="eastAsia" w:ascii="宋体" w:hAnsi="宋体" w:eastAsia="宋体" w:cs="宋体"/>
                <w:color w:val="auto"/>
                <w:kern w:val="0"/>
                <w:sz w:val="16"/>
                <w:szCs w:val="16"/>
                <w:lang w:bidi="ar"/>
              </w:rPr>
              <w:t>1、负责推进落实港航、保税物流产业、国际海事产业、整车进口业务等的招商引资、项目跟进、服务保障等工作。</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1</w:t>
            </w:r>
          </w:p>
        </w:tc>
        <w:tc>
          <w:tcPr>
            <w:tcW w:w="5631" w:type="dxa"/>
            <w:vMerge w:val="restart"/>
            <w:tcBorders>
              <w:top w:val="single" w:color="000000" w:sz="4" w:space="0"/>
              <w:left w:val="single" w:color="000000" w:sz="4" w:space="0"/>
              <w:right w:val="single" w:color="000000" w:sz="4" w:space="0"/>
            </w:tcBorders>
            <w:shd w:val="clear" w:color="auto" w:fill="auto"/>
            <w:vAlign w:val="center"/>
          </w:tcPr>
          <w:p>
            <w:pPr>
              <w:numPr>
                <w:ilvl w:val="0"/>
                <w:numId w:val="4"/>
              </w:numPr>
              <w:spacing w:line="280" w:lineRule="exact"/>
              <w:jc w:val="left"/>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国内重点高校，以及国（境）外知名院校全日制本科及以上学历，学士及以上学位,国（境）外学历学位需提供由国家教育部所属相关机构出具的学历学位认证函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2、专业：经济类、法学类相关专业；</w:t>
            </w:r>
          </w:p>
          <w:p>
            <w:pPr>
              <w:spacing w:line="280" w:lineRule="exact"/>
              <w:jc w:val="left"/>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3、年龄原则30周岁及以下；</w:t>
            </w:r>
          </w:p>
          <w:p>
            <w:pPr>
              <w:spacing w:line="280" w:lineRule="exact"/>
              <w:jc w:val="left"/>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4、具有较强的文字功底和良好的沟通、组织协调能力；</w:t>
            </w:r>
          </w:p>
          <w:p>
            <w:pPr>
              <w:spacing w:line="280" w:lineRule="exact"/>
              <w:jc w:val="left"/>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5、英语六级水平以上，有大型咨询机构任职经验并担任策划管理职务者优先；有在航运物流企业担任中层及以上管理经验者优先；有驾驶执照者优先。</w:t>
            </w:r>
          </w:p>
        </w:tc>
        <w:tc>
          <w:tcPr>
            <w:tcW w:w="72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18-23万</w:t>
            </w:r>
          </w:p>
        </w:tc>
      </w:tr>
      <w:tr>
        <w:tblPrEx>
          <w:tblLayout w:type="fixed"/>
          <w:tblCellMar>
            <w:top w:w="15" w:type="dxa"/>
            <w:left w:w="15" w:type="dxa"/>
            <w:bottom w:w="15" w:type="dxa"/>
            <w:right w:w="15"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sz w:val="16"/>
                <w:szCs w:val="16"/>
              </w:rPr>
              <w:t>40</w:t>
            </w:r>
          </w:p>
        </w:tc>
        <w:tc>
          <w:tcPr>
            <w:tcW w:w="777"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招商专员2</w:t>
            </w:r>
          </w:p>
        </w:tc>
        <w:tc>
          <w:tcPr>
            <w:tcW w:w="100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4961"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1</w:t>
            </w:r>
          </w:p>
        </w:tc>
        <w:tc>
          <w:tcPr>
            <w:tcW w:w="5631"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jc w:val="left"/>
              <w:rPr>
                <w:rFonts w:ascii="宋体" w:hAnsi="宋体" w:eastAsia="宋体" w:cs="宋体"/>
                <w:color w:val="auto"/>
                <w:sz w:val="16"/>
                <w:szCs w:val="16"/>
              </w:rPr>
            </w:pPr>
          </w:p>
        </w:tc>
        <w:tc>
          <w:tcPr>
            <w:tcW w:w="7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r>
      <w:tr>
        <w:tblPrEx>
          <w:tblLayout w:type="fixed"/>
          <w:tblCellMar>
            <w:top w:w="15" w:type="dxa"/>
            <w:left w:w="15" w:type="dxa"/>
            <w:bottom w:w="15" w:type="dxa"/>
            <w:right w:w="15" w:type="dxa"/>
          </w:tblCellMar>
        </w:tblPrEx>
        <w:trPr>
          <w:trHeight w:val="1222"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sz w:val="16"/>
                <w:szCs w:val="16"/>
              </w:rPr>
              <w:t>41</w:t>
            </w:r>
          </w:p>
        </w:tc>
        <w:tc>
          <w:tcPr>
            <w:tcW w:w="777"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经       济       发       展</w:t>
            </w:r>
          </w:p>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服</w:t>
            </w:r>
          </w:p>
          <w:p>
            <w:pPr>
              <w:jc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务      中       心</w:t>
            </w:r>
          </w:p>
          <w:p>
            <w:pPr>
              <w:jc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商</w:t>
            </w:r>
          </w:p>
          <w:p>
            <w:pPr>
              <w:jc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务</w:t>
            </w:r>
          </w:p>
          <w:p>
            <w:pPr>
              <w:jc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服</w:t>
            </w:r>
          </w:p>
          <w:p>
            <w:pPr>
              <w:jc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务</w:t>
            </w:r>
          </w:p>
          <w:p>
            <w:pPr>
              <w:jc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组</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资深招商经理1</w:t>
            </w:r>
          </w:p>
        </w:tc>
        <w:tc>
          <w:tcPr>
            <w:tcW w:w="100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r>
              <w:rPr>
                <w:rFonts w:hint="eastAsia" w:ascii="宋体" w:hAnsi="宋体" w:eastAsia="宋体" w:cs="宋体"/>
                <w:color w:val="auto"/>
                <w:sz w:val="16"/>
                <w:szCs w:val="16"/>
              </w:rPr>
              <w:t>高级主管</w:t>
            </w:r>
          </w:p>
        </w:tc>
        <w:tc>
          <w:tcPr>
            <w:tcW w:w="4961" w:type="dxa"/>
            <w:vMerge w:val="restart"/>
            <w:tcBorders>
              <w:top w:val="single" w:color="000000" w:sz="4" w:space="0"/>
              <w:left w:val="single" w:color="000000" w:sz="4" w:space="0"/>
              <w:right w:val="single" w:color="000000" w:sz="4" w:space="0"/>
            </w:tcBorders>
            <w:shd w:val="clear" w:color="auto" w:fill="auto"/>
            <w:vAlign w:val="center"/>
          </w:tcPr>
          <w:p>
            <w:pPr>
              <w:numPr>
                <w:ilvl w:val="0"/>
                <w:numId w:val="5"/>
              </w:numPr>
              <w:jc w:val="left"/>
              <w:rPr>
                <w:rFonts w:ascii="宋体" w:hAnsi="宋体" w:eastAsia="宋体" w:cs="宋体"/>
                <w:color w:val="auto"/>
                <w:sz w:val="16"/>
                <w:szCs w:val="16"/>
              </w:rPr>
            </w:pPr>
            <w:r>
              <w:rPr>
                <w:rFonts w:hint="eastAsia" w:ascii="宋体" w:hAnsi="宋体" w:eastAsia="宋体" w:cs="宋体"/>
                <w:color w:val="auto"/>
                <w:sz w:val="16"/>
                <w:szCs w:val="16"/>
              </w:rPr>
              <w:t>负责研究招商产业、拓展资源；</w:t>
            </w:r>
          </w:p>
          <w:p>
            <w:pPr>
              <w:numPr>
                <w:ilvl w:val="0"/>
                <w:numId w:val="5"/>
              </w:numPr>
              <w:jc w:val="left"/>
              <w:rPr>
                <w:rFonts w:ascii="宋体" w:hAnsi="宋体" w:eastAsia="宋体" w:cs="宋体"/>
                <w:color w:val="auto"/>
                <w:sz w:val="16"/>
                <w:szCs w:val="16"/>
              </w:rPr>
            </w:pPr>
            <w:r>
              <w:rPr>
                <w:rFonts w:hint="eastAsia" w:ascii="宋体" w:hAnsi="宋体" w:eastAsia="宋体" w:cs="宋体"/>
                <w:color w:val="auto"/>
                <w:sz w:val="16"/>
                <w:szCs w:val="16"/>
              </w:rPr>
              <w:t>负责开展重大投资项目招商及宣传推介工作。</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1</w:t>
            </w:r>
          </w:p>
        </w:tc>
        <w:tc>
          <w:tcPr>
            <w:tcW w:w="5631" w:type="dxa"/>
            <w:vMerge w:val="restart"/>
            <w:tcBorders>
              <w:top w:val="single" w:color="000000" w:sz="4" w:space="0"/>
              <w:left w:val="single" w:color="000000" w:sz="4" w:space="0"/>
              <w:right w:val="single" w:color="000000" w:sz="4" w:space="0"/>
            </w:tcBorders>
            <w:shd w:val="clear" w:color="auto" w:fill="auto"/>
            <w:vAlign w:val="center"/>
          </w:tcPr>
          <w:p>
            <w:pPr>
              <w:spacing w:line="300" w:lineRule="exact"/>
              <w:jc w:val="left"/>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1、国内重点高校，以及国（境）外知名院校全日制研究生及以上学历，硕士及以上学位，国（境）外学历学位需提供由国家教育部所属相关机构出具的学历学位认证函；</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2、本科：理工类、经济管理类相关专业；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 xml:space="preserve">   研究生：专业不限；</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3、具备流利的英语沟通能力；</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4、年龄原则40周岁及以下；</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5、沟通协调能力强，能承受繁重的工作压力。</w:t>
            </w:r>
          </w:p>
        </w:tc>
        <w:tc>
          <w:tcPr>
            <w:tcW w:w="72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35-45万</w:t>
            </w:r>
          </w:p>
        </w:tc>
      </w:tr>
      <w:tr>
        <w:tblPrEx>
          <w:tblLayout w:type="fixed"/>
          <w:tblCellMar>
            <w:top w:w="15" w:type="dxa"/>
            <w:left w:w="15" w:type="dxa"/>
            <w:bottom w:w="15" w:type="dxa"/>
            <w:right w:w="15" w:type="dxa"/>
          </w:tblCellMar>
        </w:tblPrEx>
        <w:trPr>
          <w:trHeight w:val="96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sz w:val="16"/>
                <w:szCs w:val="16"/>
              </w:rPr>
              <w:t>42</w:t>
            </w:r>
          </w:p>
        </w:tc>
        <w:tc>
          <w:tcPr>
            <w:tcW w:w="77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资深招商经理2</w:t>
            </w:r>
          </w:p>
        </w:tc>
        <w:tc>
          <w:tcPr>
            <w:tcW w:w="100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4961"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1</w:t>
            </w:r>
          </w:p>
        </w:tc>
        <w:tc>
          <w:tcPr>
            <w:tcW w:w="5631" w:type="dxa"/>
            <w:vMerge w:val="continue"/>
            <w:tcBorders>
              <w:left w:val="single" w:color="000000" w:sz="4" w:space="0"/>
              <w:bottom w:val="single" w:color="000000" w:sz="4" w:space="0"/>
              <w:right w:val="single" w:color="000000" w:sz="4" w:space="0"/>
            </w:tcBorders>
            <w:shd w:val="clear" w:color="auto" w:fill="auto"/>
            <w:vAlign w:val="center"/>
          </w:tcPr>
          <w:p>
            <w:pPr>
              <w:spacing w:line="300" w:lineRule="exact"/>
              <w:jc w:val="left"/>
              <w:rPr>
                <w:rFonts w:ascii="宋体" w:hAnsi="宋体" w:eastAsia="宋体" w:cs="宋体"/>
                <w:color w:val="auto"/>
                <w:sz w:val="16"/>
                <w:szCs w:val="16"/>
              </w:rPr>
            </w:pPr>
          </w:p>
        </w:tc>
        <w:tc>
          <w:tcPr>
            <w:tcW w:w="7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r>
      <w:tr>
        <w:tblPrEx>
          <w:tblLayout w:type="fixed"/>
          <w:tblCellMar>
            <w:top w:w="15" w:type="dxa"/>
            <w:left w:w="15" w:type="dxa"/>
            <w:bottom w:w="15" w:type="dxa"/>
            <w:right w:w="15" w:type="dxa"/>
          </w:tblCellMar>
        </w:tblPrEx>
        <w:trPr>
          <w:trHeight w:val="96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sz w:val="16"/>
                <w:szCs w:val="16"/>
              </w:rPr>
              <w:t>43</w:t>
            </w:r>
          </w:p>
        </w:tc>
        <w:tc>
          <w:tcPr>
            <w:tcW w:w="77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高级招商经理1</w:t>
            </w:r>
          </w:p>
        </w:tc>
        <w:tc>
          <w:tcPr>
            <w:tcW w:w="100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r>
              <w:rPr>
                <w:rFonts w:hint="eastAsia" w:ascii="宋体" w:hAnsi="宋体" w:eastAsia="宋体" w:cs="宋体"/>
                <w:color w:val="auto"/>
                <w:sz w:val="16"/>
                <w:szCs w:val="16"/>
              </w:rPr>
              <w:t>一级专员</w:t>
            </w:r>
          </w:p>
        </w:tc>
        <w:tc>
          <w:tcPr>
            <w:tcW w:w="4961" w:type="dxa"/>
            <w:vMerge w:val="restart"/>
            <w:tcBorders>
              <w:top w:val="single" w:color="000000" w:sz="4" w:space="0"/>
              <w:left w:val="single" w:color="000000" w:sz="4" w:space="0"/>
              <w:right w:val="single" w:color="000000" w:sz="4" w:space="0"/>
            </w:tcBorders>
            <w:shd w:val="clear" w:color="auto" w:fill="auto"/>
            <w:vAlign w:val="center"/>
          </w:tcPr>
          <w:p>
            <w:pPr>
              <w:numPr>
                <w:ilvl w:val="0"/>
                <w:numId w:val="6"/>
              </w:numPr>
              <w:jc w:val="left"/>
              <w:rPr>
                <w:rFonts w:ascii="宋体" w:hAnsi="宋体" w:eastAsia="宋体" w:cs="宋体"/>
                <w:color w:val="auto"/>
                <w:sz w:val="16"/>
                <w:szCs w:val="16"/>
              </w:rPr>
            </w:pPr>
            <w:r>
              <w:rPr>
                <w:rFonts w:hint="eastAsia" w:ascii="宋体" w:hAnsi="宋体" w:eastAsia="宋体" w:cs="宋体"/>
                <w:color w:val="auto"/>
                <w:sz w:val="16"/>
                <w:szCs w:val="16"/>
              </w:rPr>
              <w:t>针对负责招商产业进行研究；</w:t>
            </w:r>
          </w:p>
          <w:p>
            <w:pPr>
              <w:numPr>
                <w:ilvl w:val="0"/>
                <w:numId w:val="6"/>
              </w:numPr>
              <w:jc w:val="left"/>
              <w:rPr>
                <w:rFonts w:ascii="宋体" w:hAnsi="宋体" w:eastAsia="宋体" w:cs="宋体"/>
                <w:color w:val="auto"/>
                <w:sz w:val="16"/>
                <w:szCs w:val="16"/>
              </w:rPr>
            </w:pPr>
            <w:r>
              <w:rPr>
                <w:rFonts w:hint="eastAsia" w:ascii="宋体" w:hAnsi="宋体" w:eastAsia="宋体" w:cs="宋体"/>
                <w:color w:val="auto"/>
                <w:sz w:val="16"/>
                <w:szCs w:val="16"/>
              </w:rPr>
              <w:t>负责专业领域内项目对接及管理工作，开展宣传推介工作。</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1</w:t>
            </w:r>
          </w:p>
        </w:tc>
        <w:tc>
          <w:tcPr>
            <w:tcW w:w="5631" w:type="dxa"/>
            <w:vMerge w:val="restart"/>
            <w:tcBorders>
              <w:top w:val="single" w:color="000000" w:sz="4" w:space="0"/>
              <w:left w:val="single" w:color="000000" w:sz="4" w:space="0"/>
              <w:right w:val="single" w:color="000000" w:sz="4" w:space="0"/>
            </w:tcBorders>
            <w:shd w:val="clear" w:color="auto" w:fill="auto"/>
            <w:vAlign w:val="center"/>
          </w:tcPr>
          <w:p>
            <w:pPr>
              <w:spacing w:line="300" w:lineRule="exact"/>
              <w:jc w:val="left"/>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1、国内重点高校，以及国（境）外知名院校全日制本科及以上学历，学士及以上学位,国（境）外学历学位需提供由国家教育部所属相关机构出具的学历学位认证函 ；</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2、专业：理工类、经济管理类相关专业；</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3、具有良好的履职记录，具备3年及以上同行业内相关工作经验；</w:t>
            </w:r>
            <w:r>
              <w:rPr>
                <w:rFonts w:hint="eastAsia" w:ascii="宋体" w:hAnsi="宋体" w:eastAsia="宋体" w:cs="宋体"/>
                <w:color w:val="auto"/>
                <w:kern w:val="0"/>
                <w:sz w:val="16"/>
                <w:szCs w:val="16"/>
                <w:lang w:bidi="ar"/>
              </w:rPr>
              <w:br w:type="textWrapping"/>
            </w:r>
            <w:r>
              <w:rPr>
                <w:rFonts w:hint="eastAsia" w:ascii="宋体" w:hAnsi="宋体" w:eastAsia="宋体" w:cs="宋体"/>
                <w:color w:val="auto"/>
                <w:kern w:val="0"/>
                <w:sz w:val="16"/>
                <w:szCs w:val="16"/>
                <w:lang w:bidi="ar"/>
              </w:rPr>
              <w:t>4、年龄原则30周岁及以下；</w:t>
            </w:r>
          </w:p>
          <w:p>
            <w:pPr>
              <w:numPr>
                <w:ilvl w:val="0"/>
                <w:numId w:val="1"/>
              </w:numPr>
              <w:spacing w:line="300" w:lineRule="exact"/>
              <w:jc w:val="left"/>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具有流利的英语沟通能力；</w:t>
            </w:r>
          </w:p>
          <w:p>
            <w:pPr>
              <w:numPr>
                <w:ilvl w:val="0"/>
                <w:numId w:val="1"/>
              </w:numPr>
              <w:spacing w:line="300" w:lineRule="exact"/>
              <w:jc w:val="left"/>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责任心强，沟通协调能力较好，能吃苦耐劳，奉献意识强。</w:t>
            </w:r>
          </w:p>
        </w:tc>
        <w:tc>
          <w:tcPr>
            <w:tcW w:w="723"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r>
              <w:rPr>
                <w:rFonts w:hint="eastAsia" w:ascii="宋体" w:hAnsi="宋体" w:eastAsia="宋体" w:cs="宋体"/>
                <w:color w:val="auto"/>
                <w:kern w:val="0"/>
                <w:sz w:val="16"/>
                <w:szCs w:val="16"/>
                <w:lang w:bidi="ar"/>
              </w:rPr>
              <w:t>23-30万</w:t>
            </w:r>
          </w:p>
        </w:tc>
      </w:tr>
      <w:tr>
        <w:tblPrEx>
          <w:tblLayout w:type="fixed"/>
          <w:tblCellMar>
            <w:top w:w="15" w:type="dxa"/>
            <w:left w:w="15" w:type="dxa"/>
            <w:bottom w:w="15" w:type="dxa"/>
            <w:right w:w="15" w:type="dxa"/>
          </w:tblCellMar>
        </w:tblPrEx>
        <w:trPr>
          <w:trHeight w:val="960" w:hRule="atLeast"/>
        </w:trPr>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16"/>
                <w:szCs w:val="16"/>
              </w:rPr>
            </w:pPr>
            <w:r>
              <w:rPr>
                <w:rFonts w:hint="eastAsia" w:ascii="宋体" w:hAnsi="宋体" w:eastAsia="宋体" w:cs="宋体"/>
                <w:color w:val="auto"/>
                <w:sz w:val="16"/>
                <w:szCs w:val="16"/>
              </w:rPr>
              <w:t>44</w:t>
            </w:r>
          </w:p>
        </w:tc>
        <w:tc>
          <w:tcPr>
            <w:tcW w:w="777"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高级招商经理2</w:t>
            </w:r>
          </w:p>
        </w:tc>
        <w:tc>
          <w:tcPr>
            <w:tcW w:w="100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4961"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 w:val="16"/>
                <w:szCs w:val="16"/>
                <w:lang w:bidi="ar"/>
              </w:rPr>
            </w:pPr>
            <w:r>
              <w:rPr>
                <w:rFonts w:hint="eastAsia" w:ascii="宋体" w:hAnsi="宋体" w:eastAsia="宋体" w:cs="宋体"/>
                <w:color w:val="auto"/>
                <w:kern w:val="0"/>
                <w:sz w:val="16"/>
                <w:szCs w:val="16"/>
                <w:lang w:bidi="ar"/>
              </w:rPr>
              <w:t>1</w:t>
            </w:r>
          </w:p>
        </w:tc>
        <w:tc>
          <w:tcPr>
            <w:tcW w:w="5631"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auto"/>
                <w:sz w:val="16"/>
                <w:szCs w:val="16"/>
              </w:rPr>
            </w:pPr>
          </w:p>
        </w:tc>
        <w:tc>
          <w:tcPr>
            <w:tcW w:w="72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r>
      <w:tr>
        <w:tblPrEx>
          <w:tblLayout w:type="fixed"/>
          <w:tblCellMar>
            <w:top w:w="15" w:type="dxa"/>
            <w:left w:w="15" w:type="dxa"/>
            <w:bottom w:w="15" w:type="dxa"/>
            <w:right w:w="15" w:type="dxa"/>
          </w:tblCellMar>
        </w:tblPrEx>
        <w:trPr>
          <w:cantSplit/>
          <w:trHeight w:val="510" w:hRule="atLeast"/>
        </w:trPr>
        <w:tc>
          <w:tcPr>
            <w:tcW w:w="816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岗    位    合    计</w:t>
            </w:r>
          </w:p>
        </w:tc>
        <w:tc>
          <w:tcPr>
            <w:tcW w:w="691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宋体" w:hAnsi="宋体" w:eastAsia="宋体" w:cs="宋体"/>
                <w:color w:val="auto"/>
                <w:sz w:val="24"/>
              </w:rPr>
            </w:pPr>
            <w:r>
              <w:rPr>
                <w:rFonts w:hint="eastAsia" w:ascii="宋体" w:hAnsi="宋体" w:eastAsia="宋体" w:cs="宋体"/>
                <w:color w:val="auto"/>
                <w:kern w:val="0"/>
                <w:sz w:val="24"/>
                <w:lang w:bidi="ar"/>
              </w:rPr>
              <w:t>44</w:t>
            </w:r>
          </w:p>
        </w:tc>
      </w:tr>
      <w:tr>
        <w:tblPrEx>
          <w:tblLayout w:type="fixed"/>
          <w:tblCellMar>
            <w:top w:w="15" w:type="dxa"/>
            <w:left w:w="15" w:type="dxa"/>
            <w:bottom w:w="15" w:type="dxa"/>
            <w:right w:w="15" w:type="dxa"/>
          </w:tblCellMar>
        </w:tblPrEx>
        <w:trPr>
          <w:cantSplit/>
          <w:trHeight w:val="567" w:hRule="atLeast"/>
        </w:trPr>
        <w:tc>
          <w:tcPr>
            <w:tcW w:w="816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69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r>
      <w:tr>
        <w:tblPrEx>
          <w:tblLayout w:type="fixed"/>
          <w:tblCellMar>
            <w:top w:w="15" w:type="dxa"/>
            <w:left w:w="15" w:type="dxa"/>
            <w:bottom w:w="15" w:type="dxa"/>
            <w:right w:w="15" w:type="dxa"/>
          </w:tblCellMar>
        </w:tblPrEx>
        <w:trPr>
          <w:cantSplit/>
          <w:trHeight w:val="312" w:hRule="atLeast"/>
        </w:trPr>
        <w:tc>
          <w:tcPr>
            <w:tcW w:w="816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c>
          <w:tcPr>
            <w:tcW w:w="691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 w:val="16"/>
                <w:szCs w:val="16"/>
              </w:rPr>
            </w:pPr>
          </w:p>
        </w:tc>
      </w:tr>
      <w:tr>
        <w:tblPrEx>
          <w:tblLayout w:type="fixed"/>
          <w:tblCellMar>
            <w:top w:w="15" w:type="dxa"/>
            <w:left w:w="15" w:type="dxa"/>
            <w:bottom w:w="15" w:type="dxa"/>
            <w:right w:w="15" w:type="dxa"/>
          </w:tblCellMar>
        </w:tblPrEx>
        <w:trPr>
          <w:trHeight w:val="1118" w:hRule="atLeast"/>
        </w:trPr>
        <w:tc>
          <w:tcPr>
            <w:tcW w:w="15081" w:type="dxa"/>
            <w:gridSpan w:val="8"/>
            <w:shd w:val="clear" w:color="auto" w:fill="auto"/>
            <w:vAlign w:val="center"/>
          </w:tcPr>
          <w:p>
            <w:pPr>
              <w:widowControl/>
              <w:spacing w:line="280" w:lineRule="exact"/>
              <w:ind w:firstLine="0" w:firstLineChars="0"/>
              <w:jc w:val="left"/>
              <w:textAlignment w:val="center"/>
              <w:rPr>
                <w:rFonts w:hint="eastAsia" w:ascii="仿宋" w:hAnsi="仿宋" w:eastAsia="仿宋" w:cs="仿宋"/>
                <w:color w:val="auto"/>
                <w:kern w:val="0"/>
                <w:sz w:val="21"/>
                <w:szCs w:val="21"/>
                <w:lang w:bidi="ar"/>
              </w:rPr>
            </w:pPr>
            <w:r>
              <w:rPr>
                <w:rFonts w:hint="eastAsia" w:ascii="仿宋" w:hAnsi="仿宋" w:eastAsia="仿宋" w:cs="仿宋"/>
                <w:color w:val="auto"/>
                <w:kern w:val="0"/>
                <w:sz w:val="21"/>
                <w:szCs w:val="21"/>
                <w:lang w:bidi="ar"/>
              </w:rPr>
              <w:t>说明：</w:t>
            </w:r>
          </w:p>
          <w:p>
            <w:pPr>
              <w:widowControl/>
              <w:spacing w:line="280" w:lineRule="exact"/>
              <w:ind w:firstLine="420" w:firstLineChars="200"/>
              <w:jc w:val="left"/>
              <w:textAlignment w:val="center"/>
              <w:rPr>
                <w:rFonts w:hint="eastAsia" w:ascii="仿宋" w:hAnsi="仿宋" w:eastAsia="仿宋" w:cs="仿宋"/>
                <w:color w:val="auto"/>
                <w:kern w:val="0"/>
                <w:sz w:val="21"/>
                <w:szCs w:val="21"/>
                <w:lang w:eastAsia="zh-CN" w:bidi="ar"/>
              </w:rPr>
            </w:pPr>
            <w:r>
              <w:rPr>
                <w:rFonts w:hint="eastAsia" w:ascii="仿宋" w:hAnsi="仿宋" w:eastAsia="仿宋" w:cs="仿宋"/>
                <w:color w:val="auto"/>
                <w:kern w:val="0"/>
                <w:sz w:val="21"/>
                <w:szCs w:val="21"/>
                <w:lang w:val="en-US" w:eastAsia="zh-CN" w:bidi="ar"/>
              </w:rPr>
              <w:t>1、</w:t>
            </w:r>
            <w:r>
              <w:rPr>
                <w:rFonts w:hint="eastAsia" w:ascii="仿宋" w:hAnsi="仿宋" w:eastAsia="仿宋" w:cs="仿宋"/>
                <w:color w:val="auto"/>
                <w:kern w:val="0"/>
                <w:sz w:val="21"/>
                <w:szCs w:val="21"/>
                <w:lang w:bidi="ar"/>
              </w:rPr>
              <w:t>本次面向社会人员招聘的所有岗位，应聘人员若是全日制研究生学历，硕士学位的，不限制研究生专业，但须满足该岗位设置</w:t>
            </w:r>
            <w:r>
              <w:rPr>
                <w:rFonts w:hint="eastAsia" w:ascii="仿宋" w:hAnsi="仿宋" w:eastAsia="仿宋" w:cs="仿宋"/>
                <w:color w:val="auto"/>
                <w:kern w:val="0"/>
                <w:sz w:val="21"/>
                <w:szCs w:val="21"/>
                <w:lang w:eastAsia="zh-CN" w:bidi="ar"/>
              </w:rPr>
              <w:t>的</w:t>
            </w:r>
            <w:r>
              <w:rPr>
                <w:rFonts w:hint="eastAsia" w:ascii="仿宋" w:hAnsi="仿宋" w:eastAsia="仿宋" w:cs="仿宋"/>
                <w:color w:val="auto"/>
                <w:kern w:val="0"/>
                <w:sz w:val="21"/>
                <w:szCs w:val="21"/>
                <w:lang w:bidi="ar"/>
              </w:rPr>
              <w:t>本科学历</w:t>
            </w:r>
            <w:r>
              <w:rPr>
                <w:rFonts w:hint="eastAsia" w:ascii="仿宋" w:hAnsi="仿宋" w:eastAsia="仿宋" w:cs="仿宋"/>
                <w:color w:val="auto"/>
                <w:kern w:val="0"/>
                <w:sz w:val="21"/>
                <w:szCs w:val="21"/>
                <w:lang w:eastAsia="zh-CN" w:bidi="ar"/>
              </w:rPr>
              <w:t>阶段的</w:t>
            </w:r>
            <w:r>
              <w:rPr>
                <w:rFonts w:hint="eastAsia" w:ascii="仿宋" w:hAnsi="仿宋" w:eastAsia="仿宋" w:cs="仿宋"/>
                <w:color w:val="auto"/>
                <w:kern w:val="0"/>
                <w:sz w:val="21"/>
                <w:szCs w:val="21"/>
                <w:lang w:bidi="ar"/>
              </w:rPr>
              <w:t>专业要求</w:t>
            </w:r>
            <w:r>
              <w:rPr>
                <w:rFonts w:hint="eastAsia" w:ascii="仿宋" w:hAnsi="仿宋" w:eastAsia="仿宋" w:cs="仿宋"/>
                <w:color w:val="auto"/>
                <w:kern w:val="0"/>
                <w:sz w:val="21"/>
                <w:szCs w:val="21"/>
                <w:lang w:eastAsia="zh-CN" w:bidi="ar"/>
              </w:rPr>
              <w:t>，同时满足其他条件。</w:t>
            </w:r>
          </w:p>
          <w:p>
            <w:pPr>
              <w:widowControl/>
              <w:spacing w:line="280" w:lineRule="exact"/>
              <w:ind w:firstLine="420" w:firstLineChars="200"/>
              <w:jc w:val="left"/>
              <w:textAlignment w:val="center"/>
              <w:rPr>
                <w:rFonts w:hint="eastAsia" w:ascii="仿宋" w:hAnsi="仿宋" w:eastAsia="仿宋" w:cs="仿宋"/>
                <w:color w:val="auto"/>
                <w:kern w:val="0"/>
                <w:sz w:val="21"/>
                <w:szCs w:val="21"/>
                <w:lang w:val="en-US" w:eastAsia="zh-CN" w:bidi="ar"/>
              </w:rPr>
            </w:pPr>
            <w:r>
              <w:rPr>
                <w:rFonts w:hint="eastAsia" w:ascii="仿宋" w:hAnsi="仿宋" w:eastAsia="仿宋" w:cs="仿宋"/>
                <w:color w:val="auto"/>
                <w:kern w:val="0"/>
                <w:sz w:val="21"/>
                <w:szCs w:val="21"/>
                <w:lang w:val="en-US" w:eastAsia="zh-CN" w:bidi="ar"/>
              </w:rPr>
              <w:t>2、关于招录条件中“国内重点高校及国（境）外知名院校全日制研究生及以上学历，硕士及以上学位”的要求，如应聘人员全日制本科毕业院校属于“国内重点高校及国（境）外知名院校名录”范围的，视为符合招录条件要求。</w:t>
            </w:r>
          </w:p>
          <w:p>
            <w:pPr>
              <w:widowControl/>
              <w:spacing w:line="280" w:lineRule="exact"/>
              <w:ind w:firstLine="720" w:firstLineChars="300"/>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 xml:space="preserve">      </w:t>
            </w:r>
          </w:p>
        </w:tc>
      </w:tr>
    </w:tbl>
    <w:p>
      <w:pPr>
        <w:spacing w:line="540" w:lineRule="exact"/>
        <w:rPr>
          <w:rFonts w:ascii="仿宋_GB2312" w:eastAsia="仿宋_GB2312"/>
          <w:color w:val="auto"/>
          <w:spacing w:val="-11"/>
          <w:sz w:val="32"/>
          <w:szCs w:val="32"/>
        </w:rPr>
        <w:sectPr>
          <w:footerReference r:id="rId3" w:type="default"/>
          <w:pgSz w:w="16838" w:h="11906" w:orient="landscape"/>
          <w:pgMar w:top="1803" w:right="1440" w:bottom="1803" w:left="1440" w:header="851" w:footer="992" w:gutter="0"/>
          <w:cols w:space="0" w:num="1"/>
          <w:docGrid w:type="lines" w:linePitch="319" w:charSpace="0"/>
        </w:sectPr>
      </w:pPr>
    </w:p>
    <w:p>
      <w:pPr>
        <w:spacing w:line="600" w:lineRule="exact"/>
        <w:rPr>
          <w:rFonts w:ascii="黑体" w:hAnsi="黑体" w:eastAsia="黑体" w:cs="黑体"/>
          <w:color w:val="auto"/>
          <w:sz w:val="32"/>
          <w:szCs w:val="32"/>
        </w:rPr>
      </w:pPr>
      <w:r>
        <w:rPr>
          <w:rFonts w:hint="eastAsia" w:ascii="黑体" w:hAnsi="黑体" w:eastAsia="黑体" w:cs="黑体"/>
          <w:color w:val="auto"/>
          <w:sz w:val="32"/>
          <w:szCs w:val="32"/>
        </w:rPr>
        <w:t>附件2</w:t>
      </w:r>
    </w:p>
    <w:p>
      <w:pPr>
        <w:spacing w:line="600" w:lineRule="exact"/>
        <w:rPr>
          <w:rFonts w:ascii="黑体" w:hAnsi="黑体" w:eastAsia="黑体" w:cs="黑体"/>
          <w:color w:val="auto"/>
          <w:sz w:val="32"/>
          <w:szCs w:val="32"/>
        </w:rPr>
      </w:pPr>
    </w:p>
    <w:p>
      <w:pPr>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国内重点高校及国（境）外知名院校名录</w:t>
      </w:r>
    </w:p>
    <w:p>
      <w:pPr>
        <w:spacing w:line="600" w:lineRule="exact"/>
        <w:rPr>
          <w:rFonts w:ascii="黑体" w:hAnsi="黑体" w:eastAsia="黑体" w:cs="黑体"/>
          <w:color w:val="auto"/>
          <w:sz w:val="32"/>
          <w:szCs w:val="32"/>
        </w:rPr>
      </w:pPr>
    </w:p>
    <w:p>
      <w:pPr>
        <w:spacing w:line="600" w:lineRule="exact"/>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一、国内重点高校</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北京大学、清华大学、中国人民大学、北京航空大学、北京理工大学、中国农业大学、北京师范大学、中央民族大学、南开大学、天津大学、大连理工大学、同济大学、吉林大学、哈尔滨工业大学、复旦大学、上海交通大学、华东师范大学、南京大学、东南大学、浙江大学、山东大学、中国科学技术大学、厦门大学、武汉大学、华中科技大学、中南大学、中国海洋大学、中山大学、华南理工大学、四川大学、电子科技大学、西安交通大学、西北工业大学、兰州大学、重庆大学、国防科技大学、东北大学、郑州大学、云南大学、西北农林科技大学、湖南大学、新疆大学、北京交通大学、北京工业大学、北京科技大学、北京化工大学、北京邮电大学、首都师范大学、北京外国语大学、北京林业大学、外交学院、中国人民公安大学、对外经济贸易大学、中央财经大学、中国传媒大学、中央美术学院、天津工业大学、河北工业大学、中国政法大学、华北电力大学、太原理工大学、内蒙古大学、辽宁大学、大连海事大学、延边大学、南京林业大学、南京农业大学、哈尔滨工程大学、东北师范大学、河海大学、南京信息工程大学、中国矿业大学、上海财经大学、南京邮电大学、苏州大学、南京理工大学、江南大学、上海外国语大学、南京航空航天大学、上海大学、上海海洋大学、华东理工大学、东北林业大学、东华大学、东北农业大学、南京师范大学、中国美术学院、安徽大学、合肥工业大学、福州大学、中国地质大学、武汉理工大学、华中农业大学、华中师范大学、河南大学、南昌大学、华南师范大学、海南大学、湖南师范大学、中南财经政法大学、成都理工大学、西南石油大学、广西大学、暨南大学、西南交通大学、西南大学、西南财经大学、宁波大学、中国石油大学、中国科学院大学、四川农业大学、宁夏大学、石河子大学、长安大学、西安电子科技大学、青海大学、陕西师范大学、贵州大学、西藏大学、西北大学、</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"https://baike.baidu.com/item/%E5%B9%BF%E4%B8%9C%E5%B7%A5%E4%B8%9A%E5%A4%A7%E5%AD%A6"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广东工业大学</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"https://baike.baidu.com/item/%E5%8D%8E%E5%8D%97%E5%86%9C%E4%B8%9A%E5%A4%A7%E5%AD%A6"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华南农业大学</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、广东外语外贸大学、汕头大学。</w:t>
      </w:r>
    </w:p>
    <w:p>
      <w:pPr>
        <w:spacing w:line="600" w:lineRule="exact"/>
        <w:ind w:firstLine="640" w:firstLineChars="200"/>
        <w:outlineLvl w:val="0"/>
        <w:rPr>
          <w:rFonts w:ascii="黑体" w:hAnsi="黑体" w:eastAsia="黑体" w:cs="黑体"/>
          <w:color w:val="auto"/>
          <w:sz w:val="32"/>
          <w:szCs w:val="32"/>
        </w:rPr>
      </w:pPr>
      <w:r>
        <w:rPr>
          <w:rFonts w:hint="eastAsia" w:ascii="黑体" w:hAnsi="黑体" w:eastAsia="黑体" w:cs="黑体"/>
          <w:color w:val="auto"/>
          <w:sz w:val="32"/>
          <w:szCs w:val="32"/>
        </w:rPr>
        <w:t>二、国（境）外知名院校</w:t>
      </w:r>
    </w:p>
    <w:p>
      <w:pPr>
        <w:spacing w:line="600" w:lineRule="exact"/>
        <w:ind w:firstLine="640" w:firstLineChars="200"/>
        <w:rPr>
          <w:rFonts w:ascii="Times New Roman" w:hAnsi="Times New Roman" w:eastAsia="仿宋_GB2312"/>
          <w:color w:val="auto"/>
          <w:sz w:val="32"/>
          <w:szCs w:val="32"/>
        </w:rPr>
      </w:pPr>
      <w:r>
        <w:rPr>
          <w:rFonts w:hint="eastAsia" w:ascii="仿宋_GB2312" w:hAnsi="仿宋_GB2312" w:eastAsia="仿宋_GB2312" w:cs="仿宋_GB2312"/>
          <w:color w:val="auto"/>
          <w:sz w:val="32"/>
          <w:szCs w:val="32"/>
        </w:rPr>
        <w:t>香港科技大学、香港大学、香港城市大学、香港中文大学、香港理工大学、澳门大学、台湾大学、台湾清华大学、哈佛大学</w:t>
      </w:r>
      <w:r>
        <w:rPr>
          <w:rFonts w:ascii="Times New Roman" w:hAnsi="Times New Roman" w:eastAsia="仿宋_GB2312"/>
          <w:bCs/>
          <w:color w:val="auto"/>
          <w:sz w:val="32"/>
          <w:szCs w:val="32"/>
        </w:rPr>
        <w:t xml:space="preserve"> (Harvard University)、斯坦福大学(Stanford University)、芝加哥大学(University of Chicago)、麻省理工学院(Massachusetts Institute of Technology)、加州理工学院(California Institute of Technology)、普林斯顿大学(Princeton University)、耶鲁大学(Yale University)、约翰霍普金斯大学(Johns Hopkins University)、康奈尔大学(Cornell University)、宾夕法尼亚大学(University of Pennsylvania)、哥伦比亚大学(Columbia University)、加州大学伯克利分校(University of California, Berkeley)、加州大学洛杉矶分校(University of California, Los Angeles)、加州大学圣地亚哥分校(University of California, San Diego)、杜克大学(Duke University)、密歇根大学安娜堡分校(University of Michigan, Ann Arbor)、西北大学(Northwestern University)、密歇根大学(University of Michigan)、卡内基梅隆大学(Carnegie Mellon University)、</w:t>
      </w:r>
      <w:r>
        <w:rPr>
          <w:color w:val="auto"/>
        </w:rPr>
        <w:fldChar w:fldCharType="begin"/>
      </w:r>
      <w:r>
        <w:rPr>
          <w:color w:val="auto"/>
        </w:rPr>
        <w:instrText xml:space="preserve"> HYPERLINK "http://www.qianmu.org/%E4%BD%90%E6%B2%BB%E4%BA%9A%E7%90%86%E5%B7%A5%E5%AD%A6%E9%99%A2" </w:instrText>
      </w:r>
      <w:r>
        <w:rPr>
          <w:color w:val="auto"/>
        </w:rPr>
        <w:fldChar w:fldCharType="separate"/>
      </w:r>
      <w:r>
        <w:rPr>
          <w:rFonts w:ascii="Times New Roman" w:hAnsi="Times New Roman" w:eastAsia="仿宋_GB2312"/>
          <w:color w:val="auto"/>
          <w:sz w:val="32"/>
          <w:szCs w:val="32"/>
        </w:rPr>
        <w:t>佐治亚理工学院</w:t>
      </w:r>
      <w:r>
        <w:rPr>
          <w:rFonts w:ascii="Times New Roman" w:hAnsi="Times New Roman" w:eastAsia="仿宋_GB2312"/>
          <w:color w:val="auto"/>
          <w:sz w:val="32"/>
          <w:szCs w:val="32"/>
        </w:rPr>
        <w:fldChar w:fldCharType="end"/>
      </w:r>
      <w:r>
        <w:rPr>
          <w:rFonts w:ascii="Times New Roman" w:hAnsi="Times New Roman" w:eastAsia="仿宋_GB2312"/>
          <w:bCs/>
          <w:color w:val="auto"/>
          <w:sz w:val="32"/>
          <w:szCs w:val="32"/>
        </w:rPr>
        <w:t>(Georgia Institute of Technology)、华盛顿大学(University of Washington)、加州大学旧金山分校(University of California, San Francisco)、加州大学圣塔芭芭拉分校(University of California, Santa Barbara)、圣路易斯华盛顿大学(Washington University in St. Louis)、纽约大学(New York University)、剑桥大学(University of Cambridge)、牛津大学(University of Oxford)、伦敦大学学院(University College London)、帝国理工学院(Imperial College London)、爱丁堡大学(The University of Edinburgh)、伦敦国王学院(King's College London)、伦敦政治经济学院(The London School of Economics and Political Science)、曼彻斯特大学(University of Manchester)、布里斯托大学(University of Bristol)、慕尼黑大学(Ludwig-Maximilians-Universität München)、海德堡大学(Ruprecht-Karls-Universität Heidelberg)、慕尼黑工业大学(Technische Universität München)、苏黎世联邦理工学院(Eidgenössische Technische Hochschule Zürich ETHZ)、洛桑联邦理工学院(Ecole polytechnique fédérale de Lausanne EPFL)、苏黎世大学(Universität Zürich)、卡罗琳学院(Karolinska Institute)、澳大利亚国立大学(The Australian National University)、悉尼大学(The University of Sydney)、墨尔本大学(The University of Melbourne)、新南威尔士大学(The University of New South Wales)、昆士兰大学(The University of Queensland)、多伦多大学(University of Toronto)、麦吉尔大学(McGill University)、英属哥伦比亚大学(University of British Columbia)、巴黎高等师范学院(Ecole Normale Supérieure de Paris)、哥本哈根大学(University of Copenhagen)、莫斯科国立大学(Московский государственный университет)、新加坡国立大学(National University of Singapore)、南洋理工大学(Nanyang Technological University)。</w:t>
      </w:r>
    </w:p>
    <w:p>
      <w:pPr>
        <w:spacing w:line="600" w:lineRule="exact"/>
        <w:ind w:firstLine="643" w:firstLineChars="200"/>
        <w:rPr>
          <w:rFonts w:hint="eastAsia" w:ascii="仿宋_GB2312" w:hAnsi="仿宋_GB2312" w:eastAsia="仿宋_GB2312" w:cs="仿宋_GB2312"/>
          <w:b/>
          <w:color w:val="auto"/>
          <w:sz w:val="32"/>
          <w:szCs w:val="32"/>
        </w:rPr>
      </w:pPr>
    </w:p>
    <w:p>
      <w:pPr>
        <w:spacing w:line="60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备注：</w:t>
      </w:r>
      <w:r>
        <w:rPr>
          <w:rFonts w:hint="eastAsia" w:ascii="仿宋_GB2312" w:hAnsi="仿宋_GB2312" w:eastAsia="仿宋_GB2312" w:cs="仿宋_GB2312"/>
          <w:color w:val="auto"/>
          <w:sz w:val="32"/>
          <w:szCs w:val="32"/>
        </w:rPr>
        <w:t>国（境）外知名院校包括但不仅限于上述所列院校，未列明的院校应为近五年（2014年-2018年）QS世界大学排名（QS World University Rankings）和泰晤士高等教育世界大学排名（Times Higher Education World University Rankings）前300名院校。请报名人员自行查阅毕业院校是否符合院校范围。</w:t>
      </w:r>
    </w:p>
    <w:p>
      <w:pPr>
        <w:spacing w:line="600" w:lineRule="exact"/>
        <w:rPr>
          <w:rFonts w:ascii="仿宋_GB2312" w:hAnsi="仿宋_GB2312" w:eastAsia="仿宋_GB2312" w:cs="仿宋_GB2312"/>
          <w:color w:val="auto"/>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- 65 -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- 65 -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AA319"/>
    <w:multiLevelType w:val="singleLevel"/>
    <w:tmpl w:val="941AA319"/>
    <w:lvl w:ilvl="0" w:tentative="0">
      <w:start w:val="1"/>
      <w:numFmt w:val="decimal"/>
      <w:suff w:val="nothing"/>
      <w:lvlText w:val="%1、"/>
      <w:lvlJc w:val="left"/>
    </w:lvl>
  </w:abstractNum>
  <w:abstractNum w:abstractNumId="1">
    <w:nsid w:val="A69AEE0F"/>
    <w:multiLevelType w:val="singleLevel"/>
    <w:tmpl w:val="A69AEE0F"/>
    <w:lvl w:ilvl="0" w:tentative="0">
      <w:start w:val="1"/>
      <w:numFmt w:val="decimal"/>
      <w:suff w:val="nothing"/>
      <w:lvlText w:val="%1、"/>
      <w:lvlJc w:val="left"/>
    </w:lvl>
  </w:abstractNum>
  <w:abstractNum w:abstractNumId="2">
    <w:nsid w:val="ADA9E06E"/>
    <w:multiLevelType w:val="singleLevel"/>
    <w:tmpl w:val="ADA9E06E"/>
    <w:lvl w:ilvl="0" w:tentative="0">
      <w:start w:val="1"/>
      <w:numFmt w:val="decimal"/>
      <w:suff w:val="nothing"/>
      <w:lvlText w:val="%1、"/>
      <w:lvlJc w:val="left"/>
    </w:lvl>
  </w:abstractNum>
  <w:abstractNum w:abstractNumId="3">
    <w:nsid w:val="E4B2EF28"/>
    <w:multiLevelType w:val="singleLevel"/>
    <w:tmpl w:val="E4B2EF28"/>
    <w:lvl w:ilvl="0" w:tentative="0">
      <w:start w:val="1"/>
      <w:numFmt w:val="decimal"/>
      <w:suff w:val="nothing"/>
      <w:lvlText w:val="%1、"/>
      <w:lvlJc w:val="left"/>
    </w:lvl>
  </w:abstractNum>
  <w:abstractNum w:abstractNumId="4">
    <w:nsid w:val="44DE2BB1"/>
    <w:multiLevelType w:val="singleLevel"/>
    <w:tmpl w:val="44DE2BB1"/>
    <w:lvl w:ilvl="0" w:tentative="0">
      <w:start w:val="1"/>
      <w:numFmt w:val="decimal"/>
      <w:suff w:val="nothing"/>
      <w:lvlText w:val="%1、"/>
      <w:lvlJc w:val="left"/>
    </w:lvl>
  </w:abstractNum>
  <w:abstractNum w:abstractNumId="5">
    <w:nsid w:val="4E4E0499"/>
    <w:multiLevelType w:val="singleLevel"/>
    <w:tmpl w:val="4E4E0499"/>
    <w:lvl w:ilvl="0" w:tentative="0">
      <w:start w:val="1"/>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2E1247"/>
    <w:rsid w:val="0000778D"/>
    <w:rsid w:val="000F3F0C"/>
    <w:rsid w:val="0014184D"/>
    <w:rsid w:val="001F71BC"/>
    <w:rsid w:val="003028AD"/>
    <w:rsid w:val="003202B5"/>
    <w:rsid w:val="00345168"/>
    <w:rsid w:val="003B7332"/>
    <w:rsid w:val="003C4DC7"/>
    <w:rsid w:val="003F262C"/>
    <w:rsid w:val="004734EB"/>
    <w:rsid w:val="005316A7"/>
    <w:rsid w:val="00560E6E"/>
    <w:rsid w:val="00592987"/>
    <w:rsid w:val="00652BF0"/>
    <w:rsid w:val="0065367A"/>
    <w:rsid w:val="006B1384"/>
    <w:rsid w:val="006B7099"/>
    <w:rsid w:val="0075621A"/>
    <w:rsid w:val="0076739E"/>
    <w:rsid w:val="00800030"/>
    <w:rsid w:val="00824369"/>
    <w:rsid w:val="008B6397"/>
    <w:rsid w:val="008C78FA"/>
    <w:rsid w:val="009815F0"/>
    <w:rsid w:val="009B42D1"/>
    <w:rsid w:val="009C67BE"/>
    <w:rsid w:val="00A44821"/>
    <w:rsid w:val="00A76A99"/>
    <w:rsid w:val="00AE37F5"/>
    <w:rsid w:val="00B30257"/>
    <w:rsid w:val="00B80931"/>
    <w:rsid w:val="00B87409"/>
    <w:rsid w:val="00C5593B"/>
    <w:rsid w:val="00C71BEF"/>
    <w:rsid w:val="00D964A4"/>
    <w:rsid w:val="00E16566"/>
    <w:rsid w:val="00F44737"/>
    <w:rsid w:val="00F96408"/>
    <w:rsid w:val="028130BC"/>
    <w:rsid w:val="04EF3748"/>
    <w:rsid w:val="054F4454"/>
    <w:rsid w:val="06372A01"/>
    <w:rsid w:val="08694329"/>
    <w:rsid w:val="08A87FCC"/>
    <w:rsid w:val="08E75891"/>
    <w:rsid w:val="09B74235"/>
    <w:rsid w:val="09C34BBA"/>
    <w:rsid w:val="0BD87C69"/>
    <w:rsid w:val="0C7B2E34"/>
    <w:rsid w:val="0D835336"/>
    <w:rsid w:val="0DBB7C08"/>
    <w:rsid w:val="0E725A97"/>
    <w:rsid w:val="0F9748C2"/>
    <w:rsid w:val="0F98678C"/>
    <w:rsid w:val="1092330B"/>
    <w:rsid w:val="115D26AB"/>
    <w:rsid w:val="122026BF"/>
    <w:rsid w:val="12833E52"/>
    <w:rsid w:val="135E3AF1"/>
    <w:rsid w:val="14F377F7"/>
    <w:rsid w:val="152943D0"/>
    <w:rsid w:val="175663CB"/>
    <w:rsid w:val="17F95379"/>
    <w:rsid w:val="19AF3062"/>
    <w:rsid w:val="1A9F51D5"/>
    <w:rsid w:val="1B2E1247"/>
    <w:rsid w:val="1E6A1215"/>
    <w:rsid w:val="1F6068CC"/>
    <w:rsid w:val="1F8E17C0"/>
    <w:rsid w:val="1FE061A9"/>
    <w:rsid w:val="1FED289B"/>
    <w:rsid w:val="20791809"/>
    <w:rsid w:val="20E9690E"/>
    <w:rsid w:val="215A0DB4"/>
    <w:rsid w:val="24220332"/>
    <w:rsid w:val="243A0285"/>
    <w:rsid w:val="2443506A"/>
    <w:rsid w:val="24846F20"/>
    <w:rsid w:val="24F5554F"/>
    <w:rsid w:val="26EB5C90"/>
    <w:rsid w:val="27313D93"/>
    <w:rsid w:val="2824540D"/>
    <w:rsid w:val="284D202B"/>
    <w:rsid w:val="28C01A4F"/>
    <w:rsid w:val="296F131A"/>
    <w:rsid w:val="2A172230"/>
    <w:rsid w:val="2B4A1496"/>
    <w:rsid w:val="2C2D1BC2"/>
    <w:rsid w:val="2EE94E43"/>
    <w:rsid w:val="2FD814A0"/>
    <w:rsid w:val="2FFE14A7"/>
    <w:rsid w:val="313402A9"/>
    <w:rsid w:val="333818D6"/>
    <w:rsid w:val="3356470B"/>
    <w:rsid w:val="34E4100C"/>
    <w:rsid w:val="369F5C0E"/>
    <w:rsid w:val="36C71018"/>
    <w:rsid w:val="371B6D36"/>
    <w:rsid w:val="38AC5DF5"/>
    <w:rsid w:val="38DA3AF0"/>
    <w:rsid w:val="3D845760"/>
    <w:rsid w:val="3D854CA8"/>
    <w:rsid w:val="3FD90E20"/>
    <w:rsid w:val="40150204"/>
    <w:rsid w:val="4067291D"/>
    <w:rsid w:val="40727014"/>
    <w:rsid w:val="447C5764"/>
    <w:rsid w:val="45D14EDE"/>
    <w:rsid w:val="461E7475"/>
    <w:rsid w:val="46E8241A"/>
    <w:rsid w:val="48C16D2E"/>
    <w:rsid w:val="4A9763F0"/>
    <w:rsid w:val="4B5E5648"/>
    <w:rsid w:val="4BD50559"/>
    <w:rsid w:val="4CC75D24"/>
    <w:rsid w:val="4DAA7B42"/>
    <w:rsid w:val="4E196A03"/>
    <w:rsid w:val="4F8A1CC6"/>
    <w:rsid w:val="50E77156"/>
    <w:rsid w:val="51F70189"/>
    <w:rsid w:val="52735A61"/>
    <w:rsid w:val="54766DA2"/>
    <w:rsid w:val="563D789E"/>
    <w:rsid w:val="56B950EB"/>
    <w:rsid w:val="574764C1"/>
    <w:rsid w:val="578A466B"/>
    <w:rsid w:val="599F7E9E"/>
    <w:rsid w:val="59FA3092"/>
    <w:rsid w:val="59FB58E8"/>
    <w:rsid w:val="5D626811"/>
    <w:rsid w:val="5F2F0647"/>
    <w:rsid w:val="641A686F"/>
    <w:rsid w:val="6569429E"/>
    <w:rsid w:val="657C3EAE"/>
    <w:rsid w:val="66403D9E"/>
    <w:rsid w:val="66E90836"/>
    <w:rsid w:val="679141B6"/>
    <w:rsid w:val="69016801"/>
    <w:rsid w:val="69A70FCF"/>
    <w:rsid w:val="6BD90C0F"/>
    <w:rsid w:val="6EAB628C"/>
    <w:rsid w:val="70395F68"/>
    <w:rsid w:val="70F222FF"/>
    <w:rsid w:val="7126704D"/>
    <w:rsid w:val="71B20ACA"/>
    <w:rsid w:val="73CB09C7"/>
    <w:rsid w:val="74DF318B"/>
    <w:rsid w:val="75D36DEC"/>
    <w:rsid w:val="7614502D"/>
    <w:rsid w:val="7682773F"/>
    <w:rsid w:val="76C47B28"/>
    <w:rsid w:val="78860A23"/>
    <w:rsid w:val="791B358A"/>
    <w:rsid w:val="7944387D"/>
    <w:rsid w:val="79A21FE1"/>
    <w:rsid w:val="7A18616C"/>
    <w:rsid w:val="7A83336F"/>
    <w:rsid w:val="7E643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unhideWhenUsed/>
    <w:qFormat/>
    <w:uiPriority w:val="0"/>
    <w:pPr>
      <w:keepNext/>
      <w:keepLines/>
      <w:ind w:left="630" w:leftChars="300"/>
      <w:outlineLvl w:val="1"/>
    </w:pPr>
    <w:rPr>
      <w:rFonts w:ascii="Arial" w:hAnsi="Arial" w:eastAsia="楷体"/>
      <w:b/>
      <w:kern w:val="0"/>
      <w:sz w:val="32"/>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Balloon Text"/>
    <w:basedOn w:val="1"/>
    <w:link w:val="12"/>
    <w:qFormat/>
    <w:uiPriority w:val="0"/>
    <w:rPr>
      <w:rFonts w:ascii="宋体" w:eastAsia="宋体"/>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unhideWhenUsed/>
    <w:qFormat/>
    <w:uiPriority w:val="99"/>
    <w:pPr>
      <w:ind w:firstLine="420" w:firstLineChars="200"/>
    </w:pPr>
    <w:rPr>
      <w:rFonts w:ascii="Calibri" w:hAnsi="Calibri" w:eastAsia="宋体" w:cs="Times New Roman"/>
    </w:rPr>
  </w:style>
  <w:style w:type="character" w:customStyle="1" w:styleId="12">
    <w:name w:val="批注框文本 字符"/>
    <w:basedOn w:val="7"/>
    <w:link w:val="4"/>
    <w:qFormat/>
    <w:uiPriority w:val="0"/>
    <w:rPr>
      <w:rFonts w:ascii="宋体" w:hAnsiTheme="minorHAnsi" w:cstheme="minorBidi"/>
      <w:kern w:val="2"/>
      <w:sz w:val="18"/>
      <w:szCs w:val="18"/>
    </w:rPr>
  </w:style>
  <w:style w:type="paragraph" w:customStyle="1"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3084</Words>
  <Characters>17582</Characters>
  <Lines>146</Lines>
  <Paragraphs>41</Paragraphs>
  <TotalTime>0</TotalTime>
  <ScaleCrop>false</ScaleCrop>
  <LinksUpToDate>false</LinksUpToDate>
  <CharactersWithSpaces>20625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2019-03-16T11:11:00Z</dcterms:created>
  <dc:creator>曲奇的饼干</dc:creator>
  <cp:lastModifiedBy>sf</cp:lastModifiedBy>
  <cp:lastPrinted>2019-03-18T02:11:46Z</cp:lastPrinted>
  <dcterms:modified xsi:type="dcterms:W3CDTF">2019-03-18T02:12:12Z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